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E031" w14:textId="5A1E7925" w:rsidR="005B2C2B" w:rsidRDefault="005B2C2B" w:rsidP="005B2C2B">
      <w:pPr>
        <w:pStyle w:val="a6"/>
      </w:pPr>
      <w:r>
        <w:rPr>
          <w:noProof/>
        </w:rPr>
        <w:drawing>
          <wp:inline distT="0" distB="0" distL="0" distR="0" wp14:anchorId="1FAB31D1" wp14:editId="62362AFD">
            <wp:extent cx="6789420" cy="6106524"/>
            <wp:effectExtent l="0" t="342900" r="0" b="3136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7" t="3493" r="1337"/>
                    <a:stretch/>
                  </pic:blipFill>
                  <pic:spPr bwMode="auto">
                    <a:xfrm rot="16200000">
                      <a:off x="0" y="0"/>
                      <a:ext cx="6850927" cy="6161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B4A520" w14:textId="33BE7CA5" w:rsidR="00C642D0" w:rsidRDefault="00C642D0" w:rsidP="005B2C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2F9A83" w14:textId="666433B7" w:rsidR="00C642D0" w:rsidRDefault="00C642D0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20F170" w14:textId="63DB1620" w:rsidR="00395B36" w:rsidRDefault="00395B36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ECAB8E" w14:textId="207E4FF0" w:rsidR="00395B36" w:rsidRDefault="00395B36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CD6C80" w14:textId="6BC83AD2" w:rsidR="00395B36" w:rsidRDefault="00395B36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857FB3" w14:textId="4B80E825" w:rsidR="00395B36" w:rsidRDefault="00395B36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569F7F" w14:textId="77777777" w:rsidR="00395B36" w:rsidRDefault="00395B36" w:rsidP="00A00AC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475DEA" w14:textId="77777777" w:rsidR="00C642D0" w:rsidRPr="00C642D0" w:rsidRDefault="00C642D0" w:rsidP="00C642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14:paraId="35EAE167" w14:textId="77777777" w:rsidR="00A00ACD" w:rsidRPr="00C642D0" w:rsidRDefault="00A00ACD" w:rsidP="00C642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Адаптированная рабочая программа по предмету письмо для 4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класса  обучающегося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дому составлена на основе </w:t>
      </w:r>
      <w:r w:rsidRPr="00C642D0">
        <w:rPr>
          <w:rFonts w:ascii="Times New Roman" w:hAnsi="Times New Roman" w:cs="Times New Roman"/>
          <w:bCs/>
          <w:color w:val="000000" w:themeColor="text1"/>
          <w:kern w:val="1"/>
          <w:sz w:val="28"/>
          <w:szCs w:val="28"/>
        </w:rPr>
        <w:t xml:space="preserve">Примерной адаптированной основной общеобразовательной программы начального общего образования обучающихся с нарушениями опорно-двигательного </w:t>
      </w:r>
      <w:r w:rsidR="00947E84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(вариант 6.4)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 учетом индивидуального  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учебного плана.</w:t>
      </w:r>
    </w:p>
    <w:p w14:paraId="0ED60EF4" w14:textId="77777777" w:rsidR="00A00ACD" w:rsidRPr="00C642D0" w:rsidRDefault="00A00ACD" w:rsidP="00C642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индивидуальным планом обучающегося на дому, на освоение предмета «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Письмо  »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выделяется 1 час в неделю (34 недели, 34 часа в год); оставшиеся часы примерного учебного плана выделяются для самостоятельного изучения обучающегося на дому. </w:t>
      </w:r>
    </w:p>
    <w:p w14:paraId="450854A6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Целью</w:t>
      </w: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данной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является:</w:t>
      </w:r>
    </w:p>
    <w:p w14:paraId="6BA42C02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приобретение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элементарных  практических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навыков устной и письменной речи;</w:t>
      </w:r>
    </w:p>
    <w:p w14:paraId="1439426A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- воспитание интереса к родному языку.</w:t>
      </w:r>
    </w:p>
    <w:p w14:paraId="73B58F62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Основные задачи:</w:t>
      </w:r>
    </w:p>
    <w:p w14:paraId="174A8942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- совершенствование произношения и пространственной ориентировки;</w:t>
      </w:r>
    </w:p>
    <w:p w14:paraId="218056C3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- учить правильному начертанию (печатанию) букв и соединению их в слоги, слова, предложения;</w:t>
      </w:r>
    </w:p>
    <w:p w14:paraId="538D29A4" w14:textId="77777777" w:rsidR="00A00ACD" w:rsidRPr="00C642D0" w:rsidRDefault="00A00ACD" w:rsidP="00C642D0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- повысить уровень общего речевого развития;</w:t>
      </w:r>
    </w:p>
    <w:p w14:paraId="69835842" w14:textId="77777777" w:rsidR="00A00ACD" w:rsidRPr="00C642D0" w:rsidRDefault="00A00ACD" w:rsidP="00C642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характеристика учебного предмета</w:t>
      </w:r>
    </w:p>
    <w:p w14:paraId="6EDDDA74" w14:textId="77777777" w:rsidR="00A00ACD" w:rsidRPr="00C642D0" w:rsidRDefault="00A00ACD" w:rsidP="00C642D0">
      <w:pPr>
        <w:tabs>
          <w:tab w:val="left" w:pos="234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ФГОС  для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неотъемлемые  и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взаимодополняющие  стороны образовательного процесса.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Поэтому  в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программу по письму включены </w:t>
      </w: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знания о языке – речевая практика и речевое творчество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012855B" w14:textId="77777777" w:rsidR="00A00ACD" w:rsidRPr="00C642D0" w:rsidRDefault="00A00ACD" w:rsidP="00C642D0">
      <w:pPr>
        <w:numPr>
          <w:ilvl w:val="0"/>
          <w:numId w:val="1"/>
        </w:numPr>
        <w:tabs>
          <w:tab w:val="left" w:pos="2340"/>
        </w:tabs>
        <w:spacing w:after="0"/>
        <w:ind w:left="0" w:firstLine="1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овладение грамотой, основными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элементами  речевых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 </w:t>
      </w:r>
    </w:p>
    <w:p w14:paraId="7192DF94" w14:textId="77777777" w:rsidR="00A00ACD" w:rsidRPr="00C642D0" w:rsidRDefault="00A00ACD" w:rsidP="00C642D0">
      <w:pPr>
        <w:numPr>
          <w:ilvl w:val="0"/>
          <w:numId w:val="1"/>
        </w:numPr>
        <w:tabs>
          <w:tab w:val="left" w:pos="2340"/>
        </w:tabs>
        <w:spacing w:after="0"/>
        <w:ind w:left="0" w:firstLine="1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устной и письменной коммуникации, способности к элементарному осмысленному слушанию чтения учителем текста и письму; </w:t>
      </w:r>
    </w:p>
    <w:p w14:paraId="2A9823B5" w14:textId="77777777" w:rsidR="00A00ACD" w:rsidRPr="00C642D0" w:rsidRDefault="00A00ACD" w:rsidP="00C642D0">
      <w:pPr>
        <w:numPr>
          <w:ilvl w:val="0"/>
          <w:numId w:val="1"/>
        </w:numPr>
        <w:tabs>
          <w:tab w:val="left" w:pos="2340"/>
        </w:tabs>
        <w:spacing w:after="0"/>
        <w:ind w:left="0" w:firstLine="1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частичное овладение способностью пользоваться устной и письменной речью;</w:t>
      </w:r>
    </w:p>
    <w:p w14:paraId="299EA2CF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составлена с учетом уровня обученности, индивидуально-дифференцированного к нему подхода. Обучающемуся предлагается материал, содержащий доступные для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усвоения  понятия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. 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обучающегося.</w:t>
      </w:r>
    </w:p>
    <w:p w14:paraId="45D8A0B0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Также на каждом уроке проводится целенаправленная специальная работа по коррекции и развитию тонких координированных движений рук.</w:t>
      </w:r>
    </w:p>
    <w:p w14:paraId="22995056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ABC942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54D6E5" w14:textId="77777777" w:rsidR="00A00ACD" w:rsidRPr="00C642D0" w:rsidRDefault="00A00ACD" w:rsidP="00C642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Описание ценностных ориентиров содержания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учебного предмета</w:t>
      </w:r>
    </w:p>
    <w:p w14:paraId="04C4FB04" w14:textId="77777777" w:rsidR="00A00ACD" w:rsidRPr="00C642D0" w:rsidRDefault="00A00ACD" w:rsidP="00C642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C64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Ценностные ориентиры – одна из задач образования, в том числе учащегося с ОВЗ. Они прививаются в доступной форме и </w:t>
      </w:r>
      <w:proofErr w:type="gramStart"/>
      <w:r w:rsidRPr="00C64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включают:  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C64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Ценность жизни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64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Ценность добра,  Ценность свободы, чести и достоинства,  Ценность природы,  Ценность красоты и гармонии, </w:t>
      </w: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64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Ценность истины, Ценность семьи, Ценность труда и творчества, Ценность гражданственности,  Ценность патриотизма, Ценность человечества.</w:t>
      </w:r>
    </w:p>
    <w:p w14:paraId="13DE8A8B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 освоения учебного предмета</w:t>
      </w:r>
    </w:p>
    <w:p w14:paraId="5B75B1EA" w14:textId="77777777" w:rsidR="00A00ACD" w:rsidRPr="00C642D0" w:rsidRDefault="00A00ACD" w:rsidP="00C642D0">
      <w:pPr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Возможные личностные результаты:</w:t>
      </w:r>
    </w:p>
    <w:p w14:paraId="4D37396B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себя, как «Я»; осознание своей принадлежности к определенному полу.</w:t>
      </w:r>
    </w:p>
    <w:p w14:paraId="5AA2AEC9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элементарных адекватных представлений о социальном мире, овладение социально-бытовыми умениями, необходимыми в повседневной жизни дома, иметь представление о </w:t>
      </w: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выполнении  посильной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домашней работе;</w:t>
      </w:r>
    </w:p>
    <w:p w14:paraId="2E184AF5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элементарное понимание собственных возможностей и ограничений, умение сообщать о нездоровье, опасности и т.д.;</w:t>
      </w:r>
    </w:p>
    <w:p w14:paraId="75006F18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 элементарных</w:t>
      </w:r>
      <w:proofErr w:type="gramEnd"/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навыков коммуникации </w:t>
      </w:r>
    </w:p>
    <w:p w14:paraId="2CB2E09C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к восприятию социального окружения;</w:t>
      </w:r>
    </w:p>
    <w:p w14:paraId="655F81EF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самостоятельности;</w:t>
      </w:r>
    </w:p>
    <w:p w14:paraId="1C088FAF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элементарными правилами поведения;</w:t>
      </w:r>
    </w:p>
    <w:p w14:paraId="0F7CE898" w14:textId="77777777" w:rsidR="00A00ACD" w:rsidRPr="00C642D0" w:rsidRDefault="00A00ACD" w:rsidP="00C642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color w:val="000000" w:themeColor="text1"/>
          <w:sz w:val="28"/>
          <w:szCs w:val="28"/>
        </w:rPr>
        <w:t>наличие интереса к практической деятельности</w:t>
      </w:r>
    </w:p>
    <w:p w14:paraId="45F3D5A7" w14:textId="77777777" w:rsidR="00A00ACD" w:rsidRPr="00C642D0" w:rsidRDefault="00A00ACD" w:rsidP="00C642D0">
      <w:pPr>
        <w:ind w:left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Предметные результаты:</w:t>
      </w:r>
    </w:p>
    <w:p w14:paraId="3658379E" w14:textId="77777777" w:rsidR="00A00ACD" w:rsidRPr="00C642D0" w:rsidRDefault="00A00ACD" w:rsidP="00C642D0">
      <w:pPr>
        <w:ind w:left="128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42D0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eastAsia="en-US"/>
        </w:rPr>
        <w:lastRenderedPageBreak/>
        <w:t>Умение при возможности писать (печатать) буквы, слоги, слова</w:t>
      </w:r>
    </w:p>
    <w:p w14:paraId="715A7AF7" w14:textId="77777777" w:rsidR="00A00ACD" w:rsidRPr="00C642D0" w:rsidRDefault="00A00ACD" w:rsidP="00C642D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предмета</w:t>
      </w:r>
    </w:p>
    <w:p w14:paraId="372C5C61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Повторение</w:t>
      </w:r>
    </w:p>
    <w:p w14:paraId="3BE0B873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Звуки и буквы</w:t>
      </w:r>
    </w:p>
    <w:p w14:paraId="3710EAFF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Звуки и буквы. Гласные звуки и буквы. Согласные звуки и буквы. Слова, которые различаются одним звуком. Слова, которые различаются количеством звуков.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Слова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которые различаются последовательностью звуков. Ударение в словах. Выделение ударного гласного в слове. </w:t>
      </w: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ab/>
      </w: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Деление слов</w:t>
      </w: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на слоги. Различай л-р, б-п, в-ф, г-к, д-т, ж-ш, з-с. Различай звонкие и глухие согласные. Шипящие согласные. Свистящие согласные</w:t>
      </w:r>
    </w:p>
    <w:p w14:paraId="1F13FC99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Слово</w:t>
      </w:r>
    </w:p>
    <w:p w14:paraId="5CCE49C1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Слово. Предмет и его название. Названия предметов, отвечающие на вопрос что? Название частей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предмета..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Обобщающее слово для группы однородных предметов. Названия предметов, отвечающие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на вопрос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кто? Различай слова, отвечающие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на вопросы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кто? и что? Различай слова, обозначающие один или несколько одинаковых предметов. Действие и его название. Названия действий, отвечающие на вопрос что делает? что делают? Подбор названий действий к названиям предметов кто как голос подаёт? Кто как передвигается? Кто? – что делает? что делают? Что? – что делает? что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делают?.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Предлог как отдельное слово. Употребление предлогов в предложении. </w:t>
      </w:r>
    </w:p>
    <w:p w14:paraId="70F05896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Предложение</w:t>
      </w:r>
    </w:p>
    <w:p w14:paraId="4F836CC6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Предложение. Правила записи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предложения..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Порядок слов в предложении. Завершение начатого предложения. Составление предложений по предметной и сюжетной картинкам</w:t>
      </w:r>
    </w:p>
    <w:p w14:paraId="7FF0D28D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gramStart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( учителем</w:t>
      </w:r>
      <w:proofErr w:type="gramEnd"/>
      <w:r w:rsidRPr="00C642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)</w:t>
      </w:r>
    </w:p>
    <w:p w14:paraId="54CA5745" w14:textId="77777777" w:rsidR="00A00ACD" w:rsidRPr="00C642D0" w:rsidRDefault="00A00ACD" w:rsidP="00C642D0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</w:p>
    <w:p w14:paraId="7182C935" w14:textId="77777777" w:rsidR="00A00ACD" w:rsidRPr="00C642D0" w:rsidRDefault="00A00ACD" w:rsidP="00C642D0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42D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Календарно-тематическое планирование </w:t>
      </w:r>
    </w:p>
    <w:tbl>
      <w:tblPr>
        <w:tblW w:w="5445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1"/>
        <w:gridCol w:w="1843"/>
        <w:gridCol w:w="6662"/>
        <w:gridCol w:w="45"/>
      </w:tblGrid>
      <w:tr w:rsidR="00A00ACD" w:rsidRPr="00C642D0" w14:paraId="15241B15" w14:textId="77777777" w:rsidTr="008A56C2">
        <w:trPr>
          <w:trHeight w:val="562"/>
        </w:trPr>
        <w:tc>
          <w:tcPr>
            <w:tcW w:w="590" w:type="pct"/>
            <w:vMerge w:val="restart"/>
          </w:tcPr>
          <w:p w14:paraId="416DD99C" w14:textId="77777777" w:rsidR="00A00ACD" w:rsidRPr="00C642D0" w:rsidRDefault="00A00ACD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№</w:t>
            </w: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 w:eastAsia="en-US" w:bidi="en-US"/>
              </w:rPr>
              <w:t xml:space="preserve"> </w:t>
            </w: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п/п</w:t>
            </w:r>
          </w:p>
          <w:p w14:paraId="2E420A1E" w14:textId="77777777" w:rsidR="00A00ACD" w:rsidRPr="00C642D0" w:rsidRDefault="00A00ACD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 xml:space="preserve">по </w:t>
            </w:r>
            <w:proofErr w:type="spellStart"/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прогр</w:t>
            </w:r>
            <w:proofErr w:type="spellEnd"/>
          </w:p>
        </w:tc>
        <w:tc>
          <w:tcPr>
            <w:tcW w:w="458" w:type="pct"/>
            <w:vMerge w:val="restart"/>
          </w:tcPr>
          <w:p w14:paraId="368AEF93" w14:textId="77777777" w:rsidR="00A00ACD" w:rsidRPr="00C642D0" w:rsidRDefault="00A00ACD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По плану</w:t>
            </w:r>
          </w:p>
        </w:tc>
        <w:tc>
          <w:tcPr>
            <w:tcW w:w="852" w:type="pct"/>
          </w:tcPr>
          <w:p w14:paraId="0B15A99B" w14:textId="77777777" w:rsidR="00A00ACD" w:rsidRPr="00C642D0" w:rsidRDefault="00A00ACD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Дата</w:t>
            </w:r>
          </w:p>
        </w:tc>
        <w:tc>
          <w:tcPr>
            <w:tcW w:w="3100" w:type="pct"/>
            <w:gridSpan w:val="2"/>
          </w:tcPr>
          <w:p w14:paraId="5918528F" w14:textId="77777777" w:rsidR="00A00ACD" w:rsidRPr="00C642D0" w:rsidRDefault="00A00ACD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  <w:t>Тема урока</w:t>
            </w:r>
          </w:p>
        </w:tc>
      </w:tr>
      <w:tr w:rsidR="008A56C2" w:rsidRPr="00C642D0" w14:paraId="2A176C5E" w14:textId="77777777" w:rsidTr="008A56C2">
        <w:trPr>
          <w:gridAfter w:val="1"/>
          <w:wAfter w:w="20" w:type="pct"/>
          <w:trHeight w:val="144"/>
        </w:trPr>
        <w:tc>
          <w:tcPr>
            <w:tcW w:w="590" w:type="pct"/>
            <w:vMerge/>
          </w:tcPr>
          <w:p w14:paraId="252FB405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458" w:type="pct"/>
            <w:vMerge/>
          </w:tcPr>
          <w:p w14:paraId="3219F0EB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</w:tcPr>
          <w:p w14:paraId="283C3DB1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</w:tr>
      <w:tr w:rsidR="008A56C2" w:rsidRPr="00C642D0" w14:paraId="1AF5B366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FA52D69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ECBF82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FABB71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Предложение. Употребление   простого предложения. </w:t>
            </w:r>
          </w:p>
        </w:tc>
      </w:tr>
      <w:tr w:rsidR="008A56C2" w:rsidRPr="00C642D0" w14:paraId="40B9B1B3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EEFFF42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lastRenderedPageBreak/>
              <w:t>2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38207173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AD26E3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Большая буква в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начале  предложения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точка в конце предложения.</w:t>
            </w:r>
          </w:p>
        </w:tc>
      </w:tr>
      <w:tr w:rsidR="008A56C2" w:rsidRPr="00C642D0" w14:paraId="0A39EEF3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EE2F4B3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3D2343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2B17B9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Распространение предложений</w:t>
            </w:r>
          </w:p>
        </w:tc>
      </w:tr>
      <w:tr w:rsidR="008A56C2" w:rsidRPr="00C642D0" w14:paraId="7F7372CA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B90927A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45046F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C00458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деформированным  предложением</w:t>
            </w:r>
            <w:proofErr w:type="gramEnd"/>
          </w:p>
        </w:tc>
      </w:tr>
      <w:tr w:rsidR="008A56C2" w:rsidRPr="00C642D0" w14:paraId="4E870C57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B07B2E3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4166598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863AB6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Гласные звуки и буквы.</w:t>
            </w:r>
          </w:p>
        </w:tc>
      </w:tr>
      <w:tr w:rsidR="008A56C2" w:rsidRPr="00C642D0" w14:paraId="5387577B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DF15699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1E94022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225799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Согласные звуки и буквы</w:t>
            </w:r>
          </w:p>
        </w:tc>
      </w:tr>
      <w:tr w:rsidR="008A56C2" w:rsidRPr="00C642D0" w14:paraId="263A4900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A33EDCB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05362BA3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34CA1C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Выделение звука из слова и соотнесение его с буквой</w:t>
            </w:r>
          </w:p>
        </w:tc>
      </w:tr>
      <w:tr w:rsidR="008A56C2" w:rsidRPr="00C642D0" w14:paraId="17CBBBDE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50F3AA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449CE3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79F57E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Слова, которые различаются одним звуком</w:t>
            </w:r>
          </w:p>
        </w:tc>
      </w:tr>
      <w:tr w:rsidR="008A56C2" w:rsidRPr="00C642D0" w14:paraId="5E66EC0E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DF2E5FF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6A6E6A3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EE70B7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Употребление слов, которые различаются одним звуком</w:t>
            </w:r>
          </w:p>
        </w:tc>
      </w:tr>
      <w:tr w:rsidR="008A56C2" w:rsidRPr="00C642D0" w14:paraId="36AB2417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D7AAB2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605D23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5F2F6C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Слова, которые различаются количеством звуков</w:t>
            </w:r>
          </w:p>
        </w:tc>
      </w:tr>
      <w:tr w:rsidR="008A56C2" w:rsidRPr="00C642D0" w14:paraId="336BE3C5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E9468B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7E82E11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0225AA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Ударение в словах.</w:t>
            </w:r>
          </w:p>
        </w:tc>
      </w:tr>
      <w:tr w:rsidR="008A56C2" w:rsidRPr="00C642D0" w14:paraId="77B3A84F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D0DBD8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32CD064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4358D5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Выделение ударного гласного в слове.</w:t>
            </w:r>
          </w:p>
        </w:tc>
      </w:tr>
      <w:tr w:rsidR="008A56C2" w:rsidRPr="00C642D0" w14:paraId="632F035B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24CE319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1AB10E6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8324FF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Слог. Элементарное понятие о делении слов на слоги.</w:t>
            </w:r>
          </w:p>
        </w:tc>
      </w:tr>
      <w:tr w:rsidR="008A56C2" w:rsidRPr="00C642D0" w14:paraId="5C0A5334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DA0A728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14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37396EF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3C85D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Слова-родственники.</w:t>
            </w:r>
          </w:p>
        </w:tc>
      </w:tr>
      <w:tr w:rsidR="008A56C2" w:rsidRPr="00C642D0" w14:paraId="797CE282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326CD4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15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29EF3E4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FF4167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Различение согласных Л-Р.   Употребление слов с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согласными  Л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-Р</w:t>
            </w:r>
          </w:p>
        </w:tc>
      </w:tr>
      <w:tr w:rsidR="008A56C2" w:rsidRPr="00C642D0" w14:paraId="5DC6C847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70A8A1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7A616228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FFA0C1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Различение   парных  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согласных  Б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П</w:t>
            </w:r>
          </w:p>
        </w:tc>
      </w:tr>
      <w:tr w:rsidR="008A56C2" w:rsidRPr="00C642D0" w14:paraId="0DEE10C8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DFE468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17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0EE470C1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C64911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Упражнение на различение парных согласных В-Ф</w:t>
            </w:r>
          </w:p>
        </w:tc>
      </w:tr>
      <w:tr w:rsidR="008A56C2" w:rsidRPr="00C642D0" w14:paraId="0B9426C2" w14:textId="77777777" w:rsidTr="008A56C2">
        <w:trPr>
          <w:gridAfter w:val="1"/>
          <w:wAfter w:w="20" w:type="pct"/>
          <w:trHeight w:val="369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1068906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18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72C35FC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3E42C4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Правописание парных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согласных  Г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К</w:t>
            </w:r>
          </w:p>
        </w:tc>
      </w:tr>
      <w:tr w:rsidR="008A56C2" w:rsidRPr="00C642D0" w14:paraId="64B16F29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D9F93E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19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7DF8E97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207190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 парных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согласных  Д - Т</w:t>
            </w:r>
          </w:p>
        </w:tc>
      </w:tr>
      <w:tr w:rsidR="008A56C2" w:rsidRPr="00C642D0" w14:paraId="399FEF80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6026D89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20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630DAF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DFAEB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при письме и произношении Ж – Ш</w:t>
            </w:r>
          </w:p>
        </w:tc>
      </w:tr>
      <w:tr w:rsidR="008A56C2" w:rsidRPr="00C642D0" w14:paraId="5111804C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7B3CB14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21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782A657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43CE9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парных согласных З-С</w:t>
            </w:r>
          </w:p>
        </w:tc>
      </w:tr>
      <w:tr w:rsidR="008A56C2" w:rsidRPr="00C642D0" w14:paraId="3697703B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773D2A8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22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16531DA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6423A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Буквы Е, Ё, Ю, Я в начале слова или слога</w:t>
            </w:r>
          </w:p>
        </w:tc>
      </w:tr>
      <w:tr w:rsidR="008A56C2" w:rsidRPr="00C642D0" w14:paraId="6CB95E13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AB95402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62D8C2FE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BD643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Слова, отвечающие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вопросы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кто?   что?</w:t>
            </w:r>
          </w:p>
        </w:tc>
      </w:tr>
      <w:tr w:rsidR="008A56C2" w:rsidRPr="00C642D0" w14:paraId="1FE0068B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E5AFA89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24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34A2885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014C7B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Большая буква в предложениях </w:t>
            </w:r>
          </w:p>
        </w:tc>
      </w:tr>
      <w:tr w:rsidR="008A56C2" w:rsidRPr="00C642D0" w14:paraId="635A0BD2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067BFB6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25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57329251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24082A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Большая буква в именах и фамилиях людей.</w:t>
            </w:r>
          </w:p>
        </w:tc>
      </w:tr>
      <w:tr w:rsidR="008A56C2" w:rsidRPr="00C642D0" w14:paraId="0F0FC1D7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0846BF5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432E425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B4B1A4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Употребление кличек животных в предложениях</w:t>
            </w:r>
          </w:p>
        </w:tc>
      </w:tr>
      <w:tr w:rsidR="008A56C2" w:rsidRPr="00C642D0" w14:paraId="5B3FD695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A8BFFB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lastRenderedPageBreak/>
              <w:t>27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17DEDD1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D37BC3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Имена собственные в предложении</w:t>
            </w:r>
          </w:p>
        </w:tc>
      </w:tr>
      <w:tr w:rsidR="008A56C2" w:rsidRPr="00C642D0" w14:paraId="5C5927B3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B17FDC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28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22707BF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515C92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Название действий, отвечающих на </w:t>
            </w:r>
            <w:proofErr w:type="gramStart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  что</w:t>
            </w:r>
            <w:proofErr w:type="gramEnd"/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делает? Что делают?</w:t>
            </w:r>
          </w:p>
        </w:tc>
      </w:tr>
      <w:tr w:rsidR="008A56C2" w:rsidRPr="00C642D0" w14:paraId="114AD474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354F5F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29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4D6DBD55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05383B" w14:textId="77777777" w:rsidR="008A56C2" w:rsidRPr="00C642D0" w:rsidRDefault="008A56C2" w:rsidP="00C642D0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Предлог как отдельное слово.  Употребление предлогов в предложении</w:t>
            </w:r>
          </w:p>
        </w:tc>
      </w:tr>
      <w:tr w:rsidR="008A56C2" w:rsidRPr="00C642D0" w14:paraId="0A20EFB5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EC50F46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30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68E7E5EA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6C3B05" w14:textId="77777777" w:rsidR="008A56C2" w:rsidRPr="00C642D0" w:rsidRDefault="008A56C2" w:rsidP="00C642D0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предложений по предметной картинке</w:t>
            </w:r>
          </w:p>
        </w:tc>
      </w:tr>
      <w:tr w:rsidR="008A56C2" w:rsidRPr="00C642D0" w14:paraId="398FD20E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C98B1C5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31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14:paraId="78E8A330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9535D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Предложения-вопросы и предложения-ответы</w:t>
            </w:r>
          </w:p>
        </w:tc>
      </w:tr>
      <w:tr w:rsidR="008A56C2" w:rsidRPr="00C642D0" w14:paraId="5C50E2C5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</w:tcBorders>
          </w:tcPr>
          <w:p w14:paraId="5D7A308F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32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14:paraId="33A5D71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</w:tcBorders>
          </w:tcPr>
          <w:p w14:paraId="7C3A1BFE" w14:textId="77777777" w:rsidR="008A56C2" w:rsidRPr="00C642D0" w:rsidRDefault="008A56C2" w:rsidP="00C642D0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Звонкие и глухие согласные</w:t>
            </w:r>
          </w:p>
        </w:tc>
      </w:tr>
      <w:tr w:rsidR="008A56C2" w:rsidRPr="00C642D0" w14:paraId="0F78C835" w14:textId="77777777" w:rsidTr="008A56C2">
        <w:trPr>
          <w:gridAfter w:val="1"/>
          <w:wAfter w:w="20" w:type="pct"/>
          <w:trHeight w:val="337"/>
        </w:trPr>
        <w:tc>
          <w:tcPr>
            <w:tcW w:w="590" w:type="pct"/>
            <w:tcBorders>
              <w:top w:val="single" w:sz="4" w:space="0" w:color="auto"/>
            </w:tcBorders>
          </w:tcPr>
          <w:p w14:paraId="26189761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33</w:t>
            </w:r>
          </w:p>
          <w:p w14:paraId="187428BA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  <w:t>34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14:paraId="3B4B1BCC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 w:bidi="en-US"/>
              </w:rPr>
            </w:pPr>
          </w:p>
        </w:tc>
        <w:tc>
          <w:tcPr>
            <w:tcW w:w="3931" w:type="pct"/>
            <w:gridSpan w:val="2"/>
            <w:tcBorders>
              <w:top w:val="single" w:sz="4" w:space="0" w:color="auto"/>
            </w:tcBorders>
          </w:tcPr>
          <w:p w14:paraId="4B762BBD" w14:textId="77777777" w:rsidR="008A56C2" w:rsidRPr="00C642D0" w:rsidRDefault="008A56C2" w:rsidP="00C642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</w:t>
            </w:r>
          </w:p>
        </w:tc>
      </w:tr>
    </w:tbl>
    <w:p w14:paraId="27A544DD" w14:textId="77777777" w:rsidR="00A00ACD" w:rsidRPr="00C642D0" w:rsidRDefault="00A00ACD" w:rsidP="00C642D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4FA130" w14:textId="77777777" w:rsidR="00AF2C8E" w:rsidRPr="00C642D0" w:rsidRDefault="00AF2C8E" w:rsidP="00C642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2C8E" w:rsidRPr="00C642D0" w:rsidSect="008323AE">
      <w:footerReference w:type="even" r:id="rId8"/>
      <w:pgSz w:w="11906" w:h="16838" w:code="9"/>
      <w:pgMar w:top="1077" w:right="748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4475" w14:textId="77777777" w:rsidR="004A4391" w:rsidRDefault="004A4391">
      <w:pPr>
        <w:spacing w:after="0" w:line="240" w:lineRule="auto"/>
      </w:pPr>
      <w:r>
        <w:separator/>
      </w:r>
    </w:p>
  </w:endnote>
  <w:endnote w:type="continuationSeparator" w:id="0">
    <w:p w14:paraId="4CB70AF7" w14:textId="77777777" w:rsidR="004A4391" w:rsidRDefault="004A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33A7" w14:textId="77777777" w:rsidR="00C7608B" w:rsidRDefault="00AF2C8E" w:rsidP="00C81D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587CCA" w14:textId="77777777" w:rsidR="00C7608B" w:rsidRDefault="004A43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15276" w14:textId="77777777" w:rsidR="004A4391" w:rsidRDefault="004A4391">
      <w:pPr>
        <w:spacing w:after="0" w:line="240" w:lineRule="auto"/>
      </w:pPr>
      <w:r>
        <w:separator/>
      </w:r>
    </w:p>
  </w:footnote>
  <w:footnote w:type="continuationSeparator" w:id="0">
    <w:p w14:paraId="7870B95A" w14:textId="77777777" w:rsidR="004A4391" w:rsidRDefault="004A4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ACD"/>
    <w:rsid w:val="00395B36"/>
    <w:rsid w:val="004A4391"/>
    <w:rsid w:val="004C52CC"/>
    <w:rsid w:val="005B2C2B"/>
    <w:rsid w:val="00702D16"/>
    <w:rsid w:val="008A56C2"/>
    <w:rsid w:val="00947E84"/>
    <w:rsid w:val="00A00ACD"/>
    <w:rsid w:val="00AF2C8E"/>
    <w:rsid w:val="00C642D0"/>
    <w:rsid w:val="00F9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0AA1"/>
  <w15:docId w15:val="{040F20C0-D6E4-483A-81DD-B33E9476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0A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00AC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00ACD"/>
  </w:style>
  <w:style w:type="paragraph" w:styleId="a6">
    <w:name w:val="Normal (Web)"/>
    <w:basedOn w:val="a"/>
    <w:uiPriority w:val="99"/>
    <w:semiHidden/>
    <w:unhideWhenUsed/>
    <w:rsid w:val="005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957</Words>
  <Characters>5457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</cp:lastModifiedBy>
  <cp:revision>10</cp:revision>
  <dcterms:created xsi:type="dcterms:W3CDTF">2022-02-05T14:02:00Z</dcterms:created>
  <dcterms:modified xsi:type="dcterms:W3CDTF">2025-09-22T17:24:00Z</dcterms:modified>
</cp:coreProperties>
</file>