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55" w:rsidRPr="00390755" w:rsidRDefault="00390755" w:rsidP="0039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07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«Справочник старшего воспитателя дошкольного учреждения», №9 Сентябрь 2023</w:t>
      </w:r>
    </w:p>
    <w:p w:rsidR="00390755" w:rsidRPr="00390755" w:rsidRDefault="00390755" w:rsidP="003907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Держим на контроле</w:t>
      </w:r>
    </w:p>
    <w:p w:rsidR="00390755" w:rsidRPr="00390755" w:rsidRDefault="00390755" w:rsidP="003907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3907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  <w:t>Новые показатели во ВСОК ДО из</w:t>
      </w:r>
      <w:r w:rsidRPr="003907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  <w:noBreakHyphen/>
      </w:r>
      <w:proofErr w:type="gramStart"/>
      <w:r w:rsidRPr="003907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  <w:t>за перехода</w:t>
      </w:r>
      <w:proofErr w:type="gramEnd"/>
      <w:r w:rsidRPr="0039075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  <w:t> на ФОП и карты, чтобы их оценить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7F4A57" wp14:editId="0553C333">
            <wp:extent cx="942975" cy="885667"/>
            <wp:effectExtent l="0" t="0" r="0" b="0"/>
            <wp:docPr id="1" name="Рисунок 1" descr="https://e.profkiosk.ru/service_tbn2/lniq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lniqie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52" cy="89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руководитель кафедры развития образовательных систем БУ ОО ДПО «Институт развития образования», член Президиума федерального экспертного совета Всероссийской общественной организации «Воспитатели России», профессиональный эксперт проектов (документов) Академии </w:t>
      </w:r>
      <w:proofErr w:type="spell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к. </w:t>
      </w:r>
      <w:proofErr w:type="spell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филол</w:t>
      </w:r>
      <w:proofErr w:type="spell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н., г. Орел</w:t>
      </w:r>
    </w:p>
    <w:p w:rsidR="00390755" w:rsidRPr="00390755" w:rsidRDefault="00390755" w:rsidP="0039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сентября нужно внести во ВСОК </w:t>
      </w:r>
      <w:proofErr w:type="gramStart"/>
      <w:r w:rsidRPr="00390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новые объекты</w:t>
      </w:r>
      <w:proofErr w:type="gramEnd"/>
      <w:r w:rsidRPr="0039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из-за перехода на ФОП ДО. При этом целиком переделывать план не нужно. Федеральный эксперт </w:t>
      </w:r>
      <w:r w:rsidRPr="0039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</w:t>
      </w:r>
      <w:proofErr w:type="spellStart"/>
      <w:r w:rsidRPr="0039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Бережнова</w:t>
      </w:r>
      <w:proofErr w:type="spellEnd"/>
      <w:r w:rsidRPr="0039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рассказала, какие показатели качества теперь оценивать, и предложила образцы карт анализа.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Официального переходного периода для федеральной образовательной программы </w:t>
      </w:r>
      <w:proofErr w:type="spell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предусмотрело, как это было со ФГОС ДО. На него детские сады переходили в течение трех лет. По ФОП ДО все </w:t>
      </w:r>
      <w:proofErr w:type="spell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педколлективы</w:t>
      </w:r>
      <w:proofErr w:type="spell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начали работать одновременно – с 1 сентября текущего года, и уже в октябре ведомство анонсировало мониторинг ее реализации. Поэтому задача старших воспитателей – скорректировать ВСОК ДО и проанализировать качество содержания и реализации программы детского сада, условий и результатов образовательной деятельности.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 закрепляет за образовательной организацией такие компетенции, как проведение </w:t>
      </w:r>
      <w:proofErr w:type="spell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обеспечение функционирования внутренней системы оценки качества образования (</w:t>
      </w:r>
      <w:hyperlink r:id="rId5" w:anchor="/document/99/578348796/XA00MFE2NG/" w:history="1"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подп. 13 п. 3 ст. 28 Федерального закона от 29.12.2012 № 273-ФЗ «Об образовании в Российской Федерации»</w:t>
        </w:r>
      </w:hyperlink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Каждая ДОО самостоятельно разрабатывает свою систему оценки качества и определяет комплекс форм и методов оценки, график оценочных процедур. Такое право за детскими садами закрепляет закон, и изменений в этой части нет. Изменились показатели качества дошкольного образования в связи с переходом на ФОП ДО. Данный документ определяет теперь «единые для Российской Федерации базовые объем и содержание дошкольного образования и планируемые результаты освоения образовательной программы» (</w:t>
      </w:r>
      <w:hyperlink r:id="rId6" w:anchor="/document/97/503026/" w:history="1"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п. 3</w:t>
        </w:r>
      </w:hyperlink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ФОП ДО, утв. </w:t>
      </w:r>
      <w:hyperlink r:id="rId7" w:anchor="/document/97/503026/" w:history="1"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 25.11.2022 № 1028</w:t>
        </w:r>
      </w:hyperlink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07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показатели качества дошкольного образования теперь оценивать</w:t>
      </w:r>
      <w:bookmarkStart w:id="1" w:name="vs1"/>
      <w:bookmarkEnd w:id="1"/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критерии оценки состояния и развития системы дошкольного образования – это по-прежнему требования федерального государственного образовательного стандарта дошкольного образования (</w:t>
      </w:r>
      <w:hyperlink r:id="rId8" w:anchor="/document/99/499057887/" w:history="1"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9075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 17.10.2013 № 1155</w:t>
        </w:r>
      </w:hyperlink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Поэтому тотально менять ВСОК ДО нецелесообразно. Достаточно обновить некоторые показатели, которые есть в ФОП ДО.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 из функций дошкольного уровня образования – создать единое федеральное образовательное пространство воспитания и обучения детей, обеспечить им и их родителям равные, качественные условия дошкольного образования, вне зависимости от места проживания. Именно федеральная </w:t>
      </w: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образовательная программа должна помочь реализовать эту функцию. Поэтому на этапе «входа» детского сада в единое образовательное пространство важно оценить качество самой образовательной программы ДОО. Для этого вы можете включить в план ВСОК </w:t>
      </w:r>
      <w:proofErr w:type="gram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 образовательную программу</w:t>
      </w:r>
      <w:proofErr w:type="gram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 качестве отдельного объекта оценки. В этом случае вы проанализируете ее структурные компоненты и содержание детально. Новыми показателями, которые необходимо скорректировать и добавить в действующую ВСОК ДО, будет соответствие объема, содержания и планируемых результатов освоения ОП ДО федеральной образовательной программе.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Объекты оценки в системе дошкольного образования</w:t>
      </w:r>
    </w:p>
    <w:tbl>
      <w:tblPr>
        <w:tblW w:w="5145" w:type="pct"/>
        <w:tblCellSpacing w:w="15" w:type="dxa"/>
        <w:tblBorders>
          <w:top w:val="single" w:sz="12" w:space="0" w:color="F79320"/>
          <w:left w:val="single" w:sz="12" w:space="0" w:color="F79320"/>
          <w:bottom w:val="single" w:sz="12" w:space="0" w:color="F79320"/>
          <w:right w:val="single" w:sz="12" w:space="0" w:color="F7932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4988"/>
        <w:gridCol w:w="3478"/>
        <w:gridCol w:w="1985"/>
      </w:tblGrid>
      <w:tr w:rsidR="00390755" w:rsidRPr="00390755" w:rsidTr="00A413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образовательного</w:t>
            </w: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процесса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</w:t>
            </w: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ФГОС ДО</w:t>
            </w:r>
          </w:p>
        </w:tc>
        <w:tc>
          <w:tcPr>
            <w:tcW w:w="319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</w:t>
            </w: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ФОП ДО</w:t>
            </w:r>
          </w:p>
        </w:tc>
      </w:tr>
      <w:tr w:rsidR="00390755" w:rsidRPr="00390755" w:rsidTr="00A41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результатов образовательной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 к результатам</w:t>
            </w: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освоения ОП ДО</w:t>
            </w:r>
          </w:p>
        </w:tc>
        <w:tc>
          <w:tcPr>
            <w:tcW w:w="319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390755" w:rsidRPr="00390755" w:rsidTr="00A41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содержания и процессов</w:t>
            </w: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 к структуре ОП ДО и ее объему</w:t>
            </w:r>
          </w:p>
        </w:tc>
        <w:tc>
          <w:tcPr>
            <w:tcW w:w="319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390755" w:rsidRPr="00390755" w:rsidTr="00A41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условий, которые обеспечивают образовательную деятельность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 к условиям</w:t>
            </w: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ОП ДО</w:t>
            </w:r>
          </w:p>
        </w:tc>
        <w:tc>
          <w:tcPr>
            <w:tcW w:w="319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</w:tbl>
    <w:p w:rsidR="00390755" w:rsidRPr="00390755" w:rsidRDefault="00390755" w:rsidP="003907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07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 каким направлениям проводить анализ</w:t>
      </w:r>
      <w:bookmarkStart w:id="2" w:name="vs2"/>
      <w:bookmarkEnd w:id="2"/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плане реализации ВСОК ДО, как и раньше, необходимо учитывать основные направления оценки качества образования. Прежде всего это качество содержания и организации образовательного процесса в дошкольной организации. Второе направление – качество условий, которые есть в ДОО для реализации образовательного процесса. Третье направление – качество результатов, которые были достигнуты в ходе образовательного процесса. Рассмотрим подробнее каждое из направлений.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Качество результатов образовательной деятельности. </w:t>
      </w: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образовательной деятельности представлены в целевом разделе образовательной программы, в подразделе «Планируемые результаты реализации программы» как возрастные характеристики возможных достижений ребенка дошкольного возраста на разных возрастных этапах и к завершению дошкольного образования.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Планируемые результаты освоения образовательной программы заданы как целевые ориентиры дошкольного образования, которые не подлежат непосредственной оценке. Поэтому анализировать следует качество результатов – динамику развития детей в освоении образовательной программы, а также процесс их диагностирования. Смотрите образец карты по данному направлению анализа далее.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Качество содержания и процессов образовательной деятельности. </w:t>
      </w: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и особенности образовательной детальности представлены в содержательном разделе образовательной программы. В объективе вашего оценивания должны быть показатели качества содержания ОП ДО, которую педагоги реализуют в ходе различных видов детской деятельности и режимных процессов. Также необходимо оценить показатели качества образовательного процесса. Они дадут представление о технологиях работы педагогического коллектива с детьми разного возраста и с различными индивидуальными особенностями, с другими участниками образовательных отношений. Смотрите образец карты по данному направлению анализа далее.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Качество условий, которые обеспечивают образовательную деятельность. </w:t>
      </w: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представлены в организационном разделе образовательной программы и отражают в основном знакомые вам по ФГОС ДО группы требований к условиям реализации образовательной программы – материально-технические, кадровые, психолого-педагогические, требования к РППС. Появились и новые важные показатели качества условий реализации ОП ДО, которые необходимо включить в карту анализа, а также добавить в действующую ВСОК ДО детского сада либо фрагментарно заменить неактуальные. Смотрите образец карты по данному направлению анализа далее.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0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Карты анализа качества образования</w:t>
      </w:r>
      <w:bookmarkStart w:id="3" w:name="vs3"/>
      <w:bookmarkStart w:id="4" w:name="r1"/>
      <w:bookmarkEnd w:id="3"/>
      <w:bookmarkEnd w:id="4"/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Кликайте по боковым стрелкам, чтобы полистать и скачать карту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https://e.profkiosk.ru/media/512e6a2c-4772-40cf-a3fd-a088012e54f0/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90755" w:rsidRPr="00390755" w:rsidRDefault="00390755" w:rsidP="003907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интерпретировать результаты анализа качества образования</w:t>
      </w:r>
      <w:bookmarkStart w:id="5" w:name="r2"/>
      <w:bookmarkEnd w:id="5"/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 можете использовать свою </w:t>
      </w:r>
      <w:proofErr w:type="spellStart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критериальную</w:t>
      </w:r>
      <w:proofErr w:type="spellEnd"/>
      <w:r w:rsidRPr="003907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базу, которую приняли и утвердили для проведения ВСОК ДО. При этом важно, чтобы это была единая система представления результатов. Это могут быть баллы, проценты, текстовые или цветовые маркеры по методике «Светофор» и др. Ниже смотрите пример, как интерпретировать результаты по баллам.</w:t>
      </w:r>
    </w:p>
    <w:p w:rsidR="00390755" w:rsidRPr="00390755" w:rsidRDefault="00390755" w:rsidP="003907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Примерная матрица интерпретации результатов</w:t>
      </w:r>
    </w:p>
    <w:tbl>
      <w:tblPr>
        <w:tblW w:w="4818" w:type="pct"/>
        <w:tblCellSpacing w:w="15" w:type="dxa"/>
        <w:tblBorders>
          <w:top w:val="single" w:sz="12" w:space="0" w:color="F79320"/>
          <w:left w:val="single" w:sz="12" w:space="0" w:color="F79320"/>
          <w:bottom w:val="single" w:sz="12" w:space="0" w:color="F79320"/>
          <w:right w:val="single" w:sz="12" w:space="0" w:color="F7932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2602"/>
        <w:gridCol w:w="3182"/>
        <w:gridCol w:w="2401"/>
        <w:gridCol w:w="1591"/>
      </w:tblGrid>
      <w:tr w:rsidR="00390755" w:rsidRPr="00390755" w:rsidTr="00A413B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90755" w:rsidRPr="00390755" w:rsidTr="00A413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 представлен</w:t>
            </w:r>
          </w:p>
        </w:tc>
        <w:tc>
          <w:tcPr>
            <w:tcW w:w="0" w:type="auto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 меньшей степени</w:t>
            </w:r>
          </w:p>
        </w:tc>
        <w:tc>
          <w:tcPr>
            <w:tcW w:w="1219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 большей степени</w:t>
            </w:r>
          </w:p>
        </w:tc>
        <w:tc>
          <w:tcPr>
            <w:tcW w:w="778" w:type="pct"/>
            <w:vAlign w:val="center"/>
            <w:hideMark/>
          </w:tcPr>
          <w:p w:rsidR="00390755" w:rsidRPr="00390755" w:rsidRDefault="00390755" w:rsidP="0039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 полном объеме</w:t>
            </w:r>
          </w:p>
        </w:tc>
      </w:tr>
    </w:tbl>
    <w:p w:rsidR="00390755" w:rsidRPr="00390755" w:rsidRDefault="00390755" w:rsidP="00390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0755" w:rsidRPr="00390755" w:rsidRDefault="00390755" w:rsidP="003907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6B42" w:rsidRDefault="00B06B42"/>
    <w:sectPr w:rsidR="00B06B42" w:rsidSect="0031643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5"/>
    <w:rsid w:val="00390755"/>
    <w:rsid w:val="003C691C"/>
    <w:rsid w:val="004A7F71"/>
    <w:rsid w:val="00B06B42"/>
    <w:rsid w:val="00D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4FAF-3960-42DF-99D3-7F2ABA2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/" TargetMode="External"/><Relationship Id="rId5" Type="http://schemas.openxmlformats.org/officeDocument/2006/relationships/hyperlink" Target="https://1obraz.ru//" TargetMode="External"/><Relationship Id="rId10" Type="http://schemas.openxmlformats.org/officeDocument/2006/relationships/theme" Target="theme/theme1.xml"/><Relationship Id="rId4" Type="http://schemas.openxmlformats.org/officeDocument/2006/relationships/image" Target="https://e.profkiosk.ru/service_tbn2/lniqie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Пономарева ЛД</cp:lastModifiedBy>
  <cp:revision>2</cp:revision>
  <dcterms:created xsi:type="dcterms:W3CDTF">2024-04-03T06:34:00Z</dcterms:created>
  <dcterms:modified xsi:type="dcterms:W3CDTF">2024-04-03T06:34:00Z</dcterms:modified>
</cp:coreProperties>
</file>