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310" cy="816559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944173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309" cy="81655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bookmarkStart w:id="0" w:name="block-37249982"/>
      <w:r/>
      <w:r/>
      <w:r/>
      <w:bookmarkStart w:id="1" w:name="block-37249982"/>
      <w:r/>
      <w:bookmarkEnd w:id="1"/>
      <w:bookmarkEnd w:id="0"/>
      <w:r/>
      <w:r/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2" w:name="block-37249978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ПОЯСНИТЕЛЬНАЯ ЗАПИСКА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физике включает: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планируемые результаты освоения курса физики на базовом уровне, в том числе предметные результаты по годам обучения;</w:t>
      </w:r>
      <w:r>
        <w:rPr>
          <w:sz w:val="24"/>
          <w:szCs w:val="24"/>
        </w:rPr>
      </w:r>
    </w:p>
    <w:p>
      <w:pPr>
        <w:numPr>
          <w:ilvl w:val="0"/>
          <w:numId w:val="1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учебного предмета «Физика» по годам обучения.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Физика как наука о наи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основу курса физики для уровня среднего общего образования положен ряд идей, которые можно рассматривать как принципы его построения.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Идея целостности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Идея генерализации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Идея гуманитаризации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Идея прикладной направленности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Идея экологизации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Стержневыми элементами курса физики на уровне среднего общего образования являютс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Демонстрационное оборудование формируе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Лабораторное оборудование для ученических практических работ формируется в виде тематических комплектов и обеспечива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Основными целями изучения физики в общем образовании являются: 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умений объяснять явления с использованием физических знаний и научных доказательств;</w:t>
      </w:r>
      <w:r>
        <w:rPr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представлений о роли физики для развития других естественных наук, техники и технологий.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образования: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  <w:r>
        <w:rPr>
          <w:sz w:val="24"/>
          <w:szCs w:val="24"/>
        </w:rPr>
      </w:r>
    </w:p>
    <w:p>
      <w:pPr>
        <w:numPr>
          <w:ilvl w:val="0"/>
          <w:numId w:val="3"/>
        </w:numPr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создание условий для развития умений проектно-исследовательской, творческой деятельности.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3" w:name="490f2411-5974-435e-ac25-4fd30bd3d38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4" w:name="block-37249978"/>
      <w:r>
        <w:rPr>
          <w:sz w:val="24"/>
          <w:szCs w:val="24"/>
        </w:rPr>
      </w:r>
      <w:bookmarkEnd w:id="4"/>
      <w:r/>
      <w:bookmarkEnd w:id="2"/>
      <w:r/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5" w:name="block-37249979"/>
      <w:r>
        <w:rPr>
          <w:sz w:val="24"/>
          <w:szCs w:val="24"/>
        </w:rPr>
      </w:r>
      <w:bookmarkStart w:id="6" w:name="_Toc124426195"/>
      <w:r>
        <w:rPr>
          <w:sz w:val="24"/>
          <w:szCs w:val="24"/>
        </w:rPr>
      </w:r>
      <w:bookmarkEnd w:id="6"/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СОДЕРЖАНИЕ ОБУЧЕНИЯ 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10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1. Физика и методы научного познания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Роль и место физики в формировании современной научной картины мира, в практической деятельности людей.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Аналоговые и цифровые измерительные приборы, компьютерные датчики.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2. Механика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1. Кинематика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Механическое движение. Относительность механического движения. Система отсчёта. Траектория.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Свободное падение. Ускорение свободного падения.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спидометр, движение снарядов, цепные и ремённые передачи.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 системы отсчёта, иллюстрация кинематических характеристик движения.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Преобразование движений с использованием простых механизмов.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Падение тел в воздухе и в разреженном пространстве.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движения тела, брошенного под углом к горизонту и горизонтально.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ускорения свободного падения.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Направление скорости при движении по окружности.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неравномерного движения с целью определения мгновенной скорости.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движения шарика в вязкой жидкости.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движения тела, брошенного горизонтально.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2. Динамика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Принцип относительности Галилея. Первый закон Ньютона. Инерциальные системы отсчёта.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Масса тела. Сила. Принцип суперпозиции сил. Второй закон Ньютона для материальной точки. Третий закон Ньютона для материальных точек.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Закон всемирного тяготения. Сила тяжести. Первая космическая скорость.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Сила упругости. Закон Гука. Вес тела.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Поступательное и вращательное движение абсолютно твёрдого тела.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Момент силы относительно оси вращения. Плечо силы. Условия равновесия твёрдого тела.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подшипники, движение искусственных спутников.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Явление инерции.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Сравнение масс взаимодействующих тел.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Второй закон Ньютона.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сил.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Сложение сил.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Зависимость силы упругости от деформации.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Невесомость. Вес тела при ускоренном подъёме и падении.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Сравнение сил трения покоя, качения и скольжения.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Условия равновесия твёрдого тела. Виды равновесия.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движения бруска по наклонной плоскости.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зависимости сил упругости, возникающих в пружине и резиновом образце, от их деформации.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условий равновесия твёрдого тела, имеющего ось вращения.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3. Законы сохранения в механике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Работа силы. Мощность силы.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Кинетическая энергия материальной точки. Теорема об изменении кинетической энергии.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Упругие и неупругие столкновения.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водомёт, копёр, пружинный пистолет, движение ракет.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Закон сохранения импульса.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Реактивное движение.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Переход потенциальной энергии в кинетическую и обратно.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абсолютно неупругого удара с помощью двух одинаковых нитяных маятников.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связи работы силы с изменением механической энергии тела на примере растяжения резинового жгута.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3. Молекулярная физика и термодинамика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1. Основы молекулярно-кинетической теории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положения молекулярно-кинетической теории и их опытное обоснова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Тепловое равновесие. Температура и её измерение. Шкала температур Цельсия.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термометр, барометр.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Опыты, доказывающие дискретное строение вещества, фотографии молекул органических соединений.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Опыты по диффузии жидкостей и газов.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 броуновского движения.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 опыта Штерна.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Опыты, доказывающие существование межмолекулярного взаимодействия.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Модель, иллюстрирующая природу давления газа на стенки сосуда.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Опыты, иллюстрирующие уравнение состояния идеального газа, изопроцессы.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массы воздуха в классной комнате на основе измерений объёма комнаты, давления и температуры воздуха в ней.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зависимости между параметрами состояния разреженного газа.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2. Основы термодинамики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Термодинамическая система. Внутренняя энергия те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Второй закон термодинамики. Необратимость процессов в природе.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двигатель внутреннего сгорания, бытовой холодильник, кондиционер.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Изменение внутренней энергии (температуры) тела при теплопередаче.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Опыт по адиабатному расширению воздуха (опыт с воздушным огнивом).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Модели паровой турбины, двигателя внутреннего сгорания, реактивного двигателя.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удельной теплоёмкости.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3. Агрегатные состояния вещества. Фазовые переходы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Уравнение теплового баланса.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Свойства насыщенных паров.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Кипение при пониженном давлении.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Способы измерения влажности.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нагревания и плавления кристаллического вещества.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Демонстрация кристаллов.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относительной влажности воздуха.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4. Электродинамика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1. Электростатика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Электроёмкость. Конденсатор. Электроёмкость плоского конденсатора. Энергия заряженного конденсатора.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Устройство и принцип действия электрометра.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Взаимодействие наэлектризованных тел.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Электрическое поле заряженных тел.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Проводники в электростатическом поле.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Электростатическая защита.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Диэлектрики в электростатическом поле.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Энергия заряженного конденсатора.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электроёмкости конденсатора.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2. Постоянный электрический ток. Токи в различных средах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Электрический ток. Условия существования электрического тока. Источники тока. Сила тока. Постоянный ток.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Напряжение. Закон Ома для участка цепи.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Работа электрического тока. Закон Джоуля–Ленца. Мощность электрического тока.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Электродвижущая сила и внутреннее сопротивление источника тока. Закон Ома для полной (замкнутой) электрической цепи. Короткое замыкание.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Электрический ток в вакууме. Свойства электронных пучков.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p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–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n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-перехода. Полупроводниковые приборы.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Электрический ток в растворах и расплавах электролитов. Электролитическая диссоциация. Электролиз.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Электрический ток в газах. Самостоятельный и несамостоятельный разряд. Молния. Плазма.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силы тока и напряжения.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Зависимость сопротивления цилиндрических проводников от длины, площади поперечного сечения и материала.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Смешанное соединение проводников.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Прямое измерение электродвижущей силы. Короткое замыкание гальванического элемента и оценка внутреннего сопротивления.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Зависимость сопротивления металлов от температуры.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Проводимость электролитов.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Искровой разряд и проводимость воздуха.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Односторонняя проводимость диода.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смешанного соединения резисторов.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электродвижущей силы источника тока и его внутреннего сопротивления.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электролиза.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Межпредметные связи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Межпредметные понятия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Математика: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Биология: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Химия: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География: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влажность воздуха, ветры, барометр, термометр.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Технология: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11 КЛАСС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4. Электродинамика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3. Магнитное поле. Электромагнитная индукция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Сила Ампера, её модуль и направление.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Сила Лоренца, её модуль и направление. Движение заряженной частицы в однородном магнитном поле. Работа силы Лоренца.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Вихревое электрическое поле. Электродвижущая сила индукции в проводнике, движущемся поступательно в однородном магнитном поле.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Правило Ленца.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Индуктивность. Явление самоиндукции. Электродвижущая сила самоиндукции.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Энергия магнитного поля катушки с током.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Электромагнитное поле.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Опыт Эрстеда.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Отклонение электронного пучка магнитным полем.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Линии индукции магнитного поля.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Взаимодействие двух проводников с током.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Сила Ампера.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Действие силы Лоренца на ионы электролита.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Явление электромагнитной индукции.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Правило Ленца.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Зависимость электродвижущей силы индукции от скорости изменения магнитного потока.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Явление самоиндукции.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магнитного поля катушки с током.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действия постоянного магнита на рамку с током.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явления электромагнитной индукции.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5. Колебания и волны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1. Механические и электромагнитные колебания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электрический звонок, генератор переменного тока, линии электропередач.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параметров колебательной системы (пружинный или математический маятник).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затухающих колебаний.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свойств вынужденных колебаний.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резонанса.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Свободные электромагнитные колебания.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Осциллограммы (зависимости силы тока и напряжения от времени) для электромагнитных колебаний.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Резонанс при последовательном соединении резистора, катушки индуктивности и конденсатора.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 линии электропередачи.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зависимости периода малых колебаний груза на нити от длины нити и массы груза.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переменного тока в цепи из последовательно соединённых конденсатора, катушки и резистора.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2. Механические и электромагнитные волны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Звук. Скорость звука. Громкость звука. Высота тона. Тембр звука.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E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B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V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Шкала электромагнитных волн. Применение электромагнитных волн в технике и быту.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Принципы радиосвязи и телевидения. Радиолокация.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Электромагнитное загрязнение окружающей среды.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Образование и распространение поперечных и продольных волн.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Колеблющееся тело как источник звука.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отражения и преломления механических волн.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интерференции и дифракции механических волн.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Звуковой резонанс.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связи громкости звука и высоты тона с амплитудой и частотой колебаний.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свойств электромагнитных волн: отражение, преломление, поляризация, дифракция, интерференция.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3. Оптика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Отражение света. Законы отражения света. Построение изображений в плоском зеркале.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Дисперсия света. Сложный состав белого света. Цвет.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Пределы применимости геометрической оптики.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Поляризация света.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Прямолинейное распространение, отражение и преломление света. Оптические приборы.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Полное внутреннее отражение. Модель световода.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свойств изображений в линзах.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Модели микроскопа, телескопа.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интерференции света.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дифракции света.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дисперсии света.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Получение спектра с помощью призмы.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Получение спектра с помощью дифракционной решётки.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поляризации света.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Измерение показателя преломления стекла.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свойств изображений в линзах.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дисперсии света.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6. Основы специальной теории относительности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Относительность одновременности. Замедление времени и сокращение длины.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Энергия и импульс релятивистской частицы.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Связь массы с энергией и импульсом релятивистской частицы. Энергия покоя.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7. Квантовая физика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1. Элементы квантовой оптики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Фотоны. Формула Планка связи энергии фотона с его частотой. Энергия и импульс фотона.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Открытие и исследование фотоэффекта. Опыты А. Г.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Столетова. Законы фотоэффекта. Уравнение Эйнштейна для фотоэффекта. «Красная граница» фотоэффекта.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Давление света. Опыты П. Н.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Лебедева.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Химическое действие света.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фотоэлемент, фотодатчик, солнечная батарея, светодиод.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Фотоэффект на установке с цинковой пластиной.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законов внешнего фотоэффекта.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Светодиод.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Солнечная батарея.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2. Строение атома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α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Волновые свойства частиц. Волны де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Бройля. Корпускулярно-волновой дуализм.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Спонтанное и вынужденное излучение.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спектральный анализ (спектроскоп), лазер, квантовый компьютер.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 опыта Резерфорда.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Определение длины волны лазера.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линейчатых спектров излучения.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Лазер.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Наблюдение линейчатого спектра.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Тема 3. Атомное ядро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Альфа-распад. Электронный и позитронный бета-распад. Гамма-излучение. Закон радиоактивного распада.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Энергия связи нуклонов в ядре. Ядерные силы. Дефект массы ядра.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Ядерные реакции. Деление и синтез ядер.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Ядерный реактор. Термоядерный синтез. Проблемы и перспективы ядерной энергетики. Экологические аспекты ядерной энергетики.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Элементарные частицы. Открытие позитрона.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Методы наблюдения и регистрации элементарных частиц.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Фундаментальные взаимодействия. Единство физической картины мира.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Технические устройства и практическое применение: дозиметр, камера Вильсона, ядерный реактор, атомная бомба.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Демонстрации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Счётчик ионизирующих частиц.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Ученический эксперимент, лабораторные работы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Исследование треков частиц (по готовым фотографиям).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Раздел 8. Элементы астрономии и астрофизики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Этапы развития астрономии. Прикладное и мировоззренческое значение астрономии.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Вид звёздного неба. Созвездия, яркие звёзды, планеты, их видимое движение.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Солнечная система.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Солнце. Солнечная активность. Источник энергии Солнца и звёзд. Звёзды, их основные характеристики. Диаграмма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Вселенная. Расширение Вселенной. Закон Хаббла. Разбегание галактик. Теория Большого взрыва. Реликтовое излучение.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Масштабная структура Вселенной. Метагалактика.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Нерешённые проблемы астрономии.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Ученические наблюдения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Наблюдения в телескоп Луны, планет, Млечного Пути.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Обобщающее повторение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Роль физики и астрономии в экономической, технологической, социальной и этической сферах деятельности ч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Межпредметные связи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Межпредметные понятия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Математика: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решение системы уравнений, тригонометрические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Биология: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Химия: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География: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магнитные полюса Земли, залежи магнитных руд, фотосъёмка земной поверхности, предсказание землетрясений.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Технология: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r>
        <w:rPr>
          <w:sz w:val="24"/>
          <w:szCs w:val="24"/>
        </w:rPr>
      </w:r>
    </w:p>
    <w:p>
      <w:pPr>
        <w:rPr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bookmarkStart w:id="7" w:name="block-37249979"/>
      <w:r>
        <w:rPr>
          <w:sz w:val="24"/>
          <w:szCs w:val="24"/>
        </w:rPr>
      </w:r>
      <w:bookmarkEnd w:id="7"/>
      <w:r/>
      <w:bookmarkEnd w:id="5"/>
      <w:r/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sz w:val="24"/>
          <w:szCs w:val="24"/>
        </w:rPr>
      </w:r>
      <w:bookmarkStart w:id="8" w:name="block-3724998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ПЛАНИРУЕМЫЕ РЕЗУЛЬТАТЫ ОСВОЕНИЯ ПРОГРАММЫ ПО ФИЗИКЕ НА УРОВНЕ СРЕДНЕГО ОБЩЕГО ОБРАЗОВАНИЯ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  <w:r>
        <w:rPr>
          <w:sz w:val="24"/>
          <w:szCs w:val="24"/>
        </w:rPr>
      </w:r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ЛИЧНОСТНЫЕ РЕЗУЛЬТАТЫ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гражданского воспитания: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принятие традиционных общечеловеческих гуманистических и демократических ценностей;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к гуманитарной и волонтёрской деятельности;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2)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патриотического воспитания: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российской гражданской идентичности, патриотизма;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ценностное отношение к государственным символам, достижениям российских учёных в области физики и техники;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3)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духовно-нравственного воспитания: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нравственного сознания, этического поведения;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личного вклада в построение устойчивого будущего;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4)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эстетического воспитания: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эстетическое отношение к миру, включая эстетику научного творчества, присущего физической науке;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5)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трудового воспитания: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готовность и способность к образованию и самообразованию в области физики на протяжении всей жизни;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6)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экологического воспитания: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экологической культуры, осознание глобального характера экологических проблем;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расширение опыта деятельности экологической направленности на основе имеющихся знаний по физике;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7)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ценности научного познания: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сформированность мировоззрения, соответствующего современному уровню развития физической науки;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  <w:r>
        <w:rPr>
          <w:sz w:val="24"/>
          <w:szCs w:val="24"/>
        </w:rPr>
      </w:r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МЕТАПРЕДМЕТНЫЕ РЕЗУЛЬТАТЫ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Познавательные универсальные учебные действия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логические действия: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цели деятельности, задавать параметры и критерии их достижения;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закономерности и противоречия в рассматриваемых физических явлениях;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развивать креативное мышление при решении жизненных проблем.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научной терминологией, ключевыми понятиями и методами физической науки;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ставить и формулировать собственные задачи в образовательной деятельности, в том числе при изучении физики;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новым ситуациям, оценивать приобретённый опыт;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уметь переносить знания по физике в практическую область жизнедеятельности;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выдвигать новые идеи, предлагать оригинальные подходы и решения;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ставить проблемы и задачи, допускающие альтернативные решения.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Работа с информацией: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достоверность информации;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средства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Коммуникативные универсальные учебные действия: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общение на уроках физики и во внеурочной деятельности;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предпосылки конфликтных ситуаций и смягчать конфликты;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развёрнуто и логично излагать свою точку зрения с использованием языковых средств;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Регулятивные универсальные учебные действия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Самоорганизация: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новым ситуациям;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расширять рамки учебного предмета на основе личных предпочтений;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делать осознанный выбор, аргументировать его, брать на себя ответственность за решение;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оценивать приобретённый опыт;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уровень.</w:t>
      </w:r>
      <w:r>
        <w:rPr>
          <w:sz w:val="24"/>
          <w:szCs w:val="24"/>
        </w:rPr>
      </w:r>
    </w:p>
    <w:p>
      <w:pPr>
        <w:ind w:left="12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Самоконтроль, эмоциональный интеллект: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приёмы рефлексии для оценки ситуации, выбора верного решения;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уметь оценивать риски и своевременно принимать решения по их снижению;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себя, понимая свои недостатки и достоинства;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принимать мотивы и аргументы других при анализе результатов деятельности;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признавать своё право и право других на ошибки.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sz w:val="24"/>
          <w:szCs w:val="24"/>
        </w:rPr>
      </w:r>
    </w:p>
    <w:p>
      <w:pPr>
        <w:ind w:left="120"/>
        <w:jc w:val="left"/>
        <w:spacing w:before="0" w:after="0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ПРЕДМЕТНЫЕ РЕЗУЛЬТАТЫ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10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электроди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изученные электрические свойства вещества и электрические явления (процессы), используя физические величины: электрический за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I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II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III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зако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эксперименты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расчётные задачи с явно заданной физической моде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работать в 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в 11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предметные результаты на базовом уровне должны отражать сформированность у обучающихся умений: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распознавать физические явления (процессы) и объяснять их на основе законов электродинамики и квантовой физики: элек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изученные свойства ве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определять направление вектора индукции магнитного поля проводника с током, силы Ампера и силы Лоренца;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строить и описывать изображение, создаваемое плоским зеркалом, тонкой линзой;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выполнять эксперименты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расчётные задачи с явно заданной физической моде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  <w:r>
        <w:rPr>
          <w:sz w:val="24"/>
          <w:szCs w:val="24"/>
        </w:rPr>
      </w:r>
    </w:p>
    <w:p>
      <w:pPr>
        <w:ind w:firstLine="600"/>
        <w:jc w:val="both"/>
        <w:spacing w:before="0" w:after="0" w:line="264" w:lineRule="auto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работать в г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руппе с выполнением различных социальных ролей, планировать работу группы, рационально распределять обязанности и планировать деятельность в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нестандартных ситуациях, адекватно оценивать вклад к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аждого из участников группы в решение рассматриваемой проблемы.</w:t>
      </w:r>
      <w:r>
        <w:rPr>
          <w:sz w:val="24"/>
          <w:szCs w:val="24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bookmarkStart w:id="13" w:name="block-37249980"/>
      <w:r/>
      <w:bookmarkEnd w:id="13"/>
      <w:bookmarkEnd w:id="8"/>
      <w:r/>
    </w:p>
    <w:p>
      <w:pPr>
        <w:ind w:left="120"/>
        <w:jc w:val="left"/>
        <w:spacing w:before="0" w:after="0"/>
      </w:pPr>
      <w:r/>
      <w:bookmarkStart w:id="14" w:name="block-37249981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202"/>
        <w:gridCol w:w="1602"/>
        <w:gridCol w:w="1840"/>
        <w:gridCol w:w="1909"/>
        <w:gridCol w:w="280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образовательные ресурсы </w:t>
            </w: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ФИЗИКА И МЕТОДЫ НАУЧНОГО ПОЗНАНИЯ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Физика и методы научного познания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10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МЕХАНИКА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Кинематика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1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Динамика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2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Законы сохранения в механике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3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МОЛЕКУЛЯРНАЯ ФИЗИКА И ТЕРМОДИНАМИКА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молекулярно-кинетической теории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4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термодинамики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5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Агрегатные состояния вещества. Фазовые переходы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6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Электростатика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7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Постоянный электрический ток. Токи в различных средах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 w:line="240" w:lineRule="auto"/>
            </w:pPr>
            <w:r/>
            <w:hyperlink r:id="rId18" w:tooltip="https://m.edsoo.ru/7f41bf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https://m.edsoo.ru/7f41bf72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2800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893"/>
        <w:gridCol w:w="1535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ЭЛЕКТРОДИНАМИКА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Магнитное поле. Электромагнитная индукция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19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КОЛЕБАНИЯ И ВОЛНЫ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Механические и электромагнитные колебания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0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Механические и электромагнитные волны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hyperlink r:id="rId21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2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ОСНОВЫ СПЕЦИАЛЬНОЙ ТЕОРИИ ОТНОСИТЕЛЬНОСТИ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Основы специальной теории относительности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3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КВАНТОВАЯ ФИЗИКА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Элементы квантовой оптики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4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Строение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5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Атомное ядро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6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ЭЛЕМЕНТЫ АСТРОНОМИИ И АСТРОФИЗИКИ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Элементы астрономии и астрофизики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7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ОБОБЩАЮЩЕЕ ПОВТОРЕНИЕ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48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Обобщающее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/>
            <w:hyperlink r:id="rId28" w:tooltip="https://m.edsoo.ru/7f41c97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https://m.edsoo.ru/7f41c97c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bookmarkStart w:id="18" w:name="block-37249984"/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left"/>
        <w:spacing w:before="0" w:after="0" w:line="480" w:lineRule="auto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ind w:left="120"/>
        <w:jc w:val="left"/>
        <w:spacing w:before="0" w:after="0" w:line="480" w:lineRule="auto"/>
      </w:pPr>
      <w:r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1">
    <w:name w:val="Heading 5"/>
    <w:basedOn w:val="605"/>
    <w:next w:val="60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5"/>
    <w:next w:val="60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5"/>
    <w:next w:val="60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5"/>
    <w:next w:val="60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5"/>
    <w:next w:val="60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8">
    <w:name w:val="Quote"/>
    <w:basedOn w:val="605"/>
    <w:next w:val="60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5"/>
    <w:next w:val="60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4">
    <w:name w:val="Footer"/>
    <w:basedOn w:val="60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0"/>
    <w:link w:val="44"/>
    <w:uiPriority w:val="99"/>
  </w:style>
  <w:style w:type="character" w:styleId="47">
    <w:name w:val="Caption Char"/>
    <w:basedOn w:val="626"/>
    <w:link w:val="44"/>
    <w:uiPriority w:val="99"/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0"/>
    <w:uiPriority w:val="99"/>
    <w:unhideWhenUsed/>
    <w:rPr>
      <w:vertAlign w:val="superscript"/>
    </w:rPr>
  </w:style>
  <w:style w:type="paragraph" w:styleId="178">
    <w:name w:val="endnote text"/>
    <w:basedOn w:val="60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0"/>
    <w:uiPriority w:val="99"/>
    <w:semiHidden/>
    <w:unhideWhenUsed/>
    <w:rPr>
      <w:vertAlign w:val="superscript"/>
    </w:rPr>
  </w:style>
  <w:style w:type="paragraph" w:styleId="181">
    <w:name w:val="toc 1"/>
    <w:basedOn w:val="605"/>
    <w:next w:val="60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5"/>
    <w:next w:val="60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5"/>
    <w:next w:val="60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5"/>
    <w:next w:val="60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5"/>
    <w:next w:val="60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5"/>
    <w:next w:val="60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5"/>
    <w:next w:val="60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5"/>
    <w:next w:val="60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5"/>
    <w:next w:val="60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5"/>
    <w:next w:val="605"/>
    <w:uiPriority w:val="99"/>
    <w:unhideWhenUsed/>
    <w:pPr>
      <w:spacing w:after="0" w:afterAutospacing="0"/>
    </w:pPr>
  </w:style>
  <w:style w:type="paragraph" w:styleId="605" w:default="1">
    <w:name w:val="Normal"/>
    <w:qFormat/>
  </w:style>
  <w:style w:type="paragraph" w:styleId="606">
    <w:name w:val="Heading 1"/>
    <w:basedOn w:val="605"/>
    <w:next w:val="605"/>
    <w:link w:val="61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7">
    <w:name w:val="Heading 2"/>
    <w:basedOn w:val="605"/>
    <w:next w:val="605"/>
    <w:link w:val="61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8">
    <w:name w:val="Heading 3"/>
    <w:basedOn w:val="605"/>
    <w:next w:val="605"/>
    <w:link w:val="61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9">
    <w:name w:val="Heading 4"/>
    <w:basedOn w:val="605"/>
    <w:next w:val="605"/>
    <w:link w:val="61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10" w:default="1">
    <w:name w:val="Default Paragraph Font"/>
    <w:uiPriority w:val="1"/>
    <w:semiHidden/>
    <w:unhideWhenUsed/>
  </w:style>
  <w:style w:type="paragraph" w:styleId="611">
    <w:name w:val="Header"/>
    <w:basedOn w:val="605"/>
    <w:link w:val="61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2" w:customStyle="1">
    <w:name w:val="Header Char"/>
    <w:basedOn w:val="610"/>
    <w:link w:val="611"/>
    <w:uiPriority w:val="99"/>
  </w:style>
  <w:style w:type="character" w:styleId="613" w:customStyle="1">
    <w:name w:val="Heading 1 Char"/>
    <w:basedOn w:val="610"/>
    <w:link w:val="60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4" w:customStyle="1">
    <w:name w:val="Heading 2 Char"/>
    <w:basedOn w:val="610"/>
    <w:link w:val="60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5" w:customStyle="1">
    <w:name w:val="Heading 3 Char"/>
    <w:basedOn w:val="610"/>
    <w:link w:val="608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6" w:customStyle="1">
    <w:name w:val="Heading 4 Char"/>
    <w:basedOn w:val="610"/>
    <w:link w:val="60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7">
    <w:name w:val="Normal Indent"/>
    <w:basedOn w:val="605"/>
    <w:uiPriority w:val="99"/>
    <w:unhideWhenUsed/>
    <w:pPr>
      <w:ind w:left="720"/>
    </w:pPr>
  </w:style>
  <w:style w:type="paragraph" w:styleId="618">
    <w:name w:val="Subtitle"/>
    <w:basedOn w:val="605"/>
    <w:next w:val="605"/>
    <w:link w:val="61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9" w:customStyle="1">
    <w:name w:val="Subtitle Char"/>
    <w:basedOn w:val="610"/>
    <w:link w:val="61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0">
    <w:name w:val="Title"/>
    <w:basedOn w:val="605"/>
    <w:next w:val="605"/>
    <w:link w:val="621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1" w:customStyle="1">
    <w:name w:val="Title Char"/>
    <w:basedOn w:val="610"/>
    <w:link w:val="62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2">
    <w:name w:val="Emphasis"/>
    <w:basedOn w:val="610"/>
    <w:uiPriority w:val="20"/>
    <w:qFormat/>
    <w:rPr>
      <w:i/>
      <w:iCs/>
    </w:rPr>
  </w:style>
  <w:style w:type="character" w:styleId="623">
    <w:name w:val="Hyperlink"/>
    <w:basedOn w:val="610"/>
    <w:uiPriority w:val="99"/>
    <w:unhideWhenUsed/>
    <w:rPr>
      <w:color w:val="0000ff" w:themeColor="hyperlink"/>
      <w:u w:val="single"/>
    </w:rPr>
  </w:style>
  <w:style w:type="table" w:styleId="624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2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26">
    <w:name w:val="Caption"/>
    <w:basedOn w:val="605"/>
    <w:next w:val="605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1563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bf72" TargetMode="External"/><Relationship Id="rId16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7f41c97c" TargetMode="External"/><Relationship Id="rId20" Type="http://schemas.openxmlformats.org/officeDocument/2006/relationships/hyperlink" Target="https://m.edsoo.ru/7f41c97c" TargetMode="External"/><Relationship Id="rId21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4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7f41c97c" TargetMode="External"/><Relationship Id="rId26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7f41c97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2024-11-24T08:15:41Z</dcterms:modified>
</cp:coreProperties>
</file>