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1"/>
        <w:jc w:val="center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3059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highlight w:val="none"/>
        </w:rPr>
      </w:r>
      <w:r>
        <w:rPr>
          <w:highlight w:val="none"/>
        </w:rPr>
      </w:r>
    </w:p>
    <w:p>
      <w:pPr>
        <w:ind w:left="120"/>
        <w:jc w:val="both"/>
        <w:spacing w:before="0" w:after="0" w:line="264" w:lineRule="auto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Геометрия как один из основных разделов школьной ма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Крайне важно подчёркивать связи геометрии с другими учебными предметами, м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0"/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Симметричные фигуры. Основные свойства осевой симметрии. Примеры симметрии в окружающем мире.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построения с помощью циркуля и линейки. Треугольник. Высота, медиана, биссектриса, их свойства.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Геометрическое место точек. Биссектриса угла и серединный перпендикуляр к отрезку как геометрические места точек.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 удвоения медианы. Центральная симметрия. Теорема Фалеса и теорема о пропорциональных отрезках.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Средние линии треугольника и трапеции. Центр масс треугольника.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  <w:highlight w:val="none"/>
        </w:rPr>
      </w:r>
      <w:r/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9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Вектор, длина (модуль) вектора, сонаправленные век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РЕЗУЛЬТАТЫ ОСВОЕНИЯ ПРОГРАММЫ УЧЕБНОГО КУРСА «ГЕОМЕТРИЯ» НА УРОВНЕ ОСНОВНОГО ОБЩЕГО ОБРАЗОВАНИЯ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освоения программы учебного курса «Геометрия» характеризуются: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патриотическое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трудовое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 эстетическое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 ценности научного познания: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 экологическое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Работа с информацией: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  <w:r/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задачи на клетчатой бумаге.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вычисления и 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простейшими геометрическими неравенствами, понимать их практический смысл.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понятиями преобразования подобия, со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оси (или центры) симметрии фигур, применять движения плоскости в простейших случаях.</w:t>
      </w:r>
      <w:r>
        <w:rPr>
          <w:sz w:val="24"/>
          <w:szCs w:val="24"/>
        </w:rPr>
      </w:r>
      <w:r/>
    </w:p>
    <w:p>
      <w:pPr>
        <w:jc w:val="left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ором)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29" w:name="block-34775894"/>
      <w:r>
        <w:rPr>
          <w:sz w:val="24"/>
          <w:szCs w:val="24"/>
        </w:rPr>
      </w:r>
      <w:bookmarkEnd w:id="29"/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7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94"/>
        <w:gridCol w:w="1598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Простейшие геометрические фигуры и их свойства. Измерение геометрических величин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0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1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Параллельные прямые, сумма углов треугольника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2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круг. Геометрические построения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3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4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знаний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4" w:tooltip="https://m.edsoo.ru/7f415e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https://m.edsoo.ru/7f415e2e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8 КЛАСС 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561"/>
        <w:gridCol w:w="1531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Четырёхугольники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5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Фалеса и теорема о пропорциональных отрезках, подобные треугольники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6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Площадь. Нахождение площадей треугольников и многоугольных фигур. Площади подобных фигур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7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Теорема Пифагора и начала тригонометрии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8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Углы в окружности. Вписанные и описанные четырехугольники. Касательные к окружности. Касание окружностей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9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56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знаний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0" w:tooltip="https://m.edsoo.ru/7f417e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https://m.edsoo.ru/7f417e18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3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9 КЛАСС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130"/>
        <w:gridCol w:w="1585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Тригонометрия. Теоремы косинусов и синусов. Решение треугольников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подобия. Метрические соотношения в окружности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Декартовы координаты на плоскости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Правильные многоугольники. Длина окружности и площадь круга. Вычисление площадей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Движения плоскости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a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https://m.edsoo.ru/7f41a12c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70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33" w:name="block-34775896"/>
      <w:r/>
      <w:bookmarkEnd w:id="33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5"/>
    <w:basedOn w:val="821"/>
    <w:next w:val="821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26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1"/>
    <w:next w:val="821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2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1"/>
    <w:next w:val="821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26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1"/>
    <w:next w:val="821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26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1"/>
    <w:next w:val="821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26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1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Quote"/>
    <w:basedOn w:val="821"/>
    <w:next w:val="821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1"/>
    <w:next w:val="821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Footer"/>
    <w:basedOn w:val="821"/>
    <w:link w:val="6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26"/>
    <w:link w:val="676"/>
    <w:uiPriority w:val="99"/>
  </w:style>
  <w:style w:type="character" w:styleId="678">
    <w:name w:val="Caption Char"/>
    <w:basedOn w:val="842"/>
    <w:link w:val="676"/>
    <w:uiPriority w:val="99"/>
  </w:style>
  <w:style w:type="table" w:styleId="679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6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6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2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3">
    <w:name w:val="Heading 2"/>
    <w:basedOn w:val="821"/>
    <w:next w:val="821"/>
    <w:link w:val="83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4">
    <w:name w:val="Heading 3"/>
    <w:basedOn w:val="821"/>
    <w:next w:val="821"/>
    <w:link w:val="83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5">
    <w:name w:val="Heading 4"/>
    <w:basedOn w:val="821"/>
    <w:next w:val="821"/>
    <w:link w:val="83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26" w:default="1">
    <w:name w:val="Default Paragraph Font"/>
    <w:uiPriority w:val="1"/>
    <w:semiHidden/>
    <w:unhideWhenUsed/>
  </w:style>
  <w:style w:type="paragraph" w:styleId="827">
    <w:name w:val="Header"/>
    <w:basedOn w:val="821"/>
    <w:link w:val="82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28" w:customStyle="1">
    <w:name w:val="Header Char"/>
    <w:basedOn w:val="826"/>
    <w:link w:val="827"/>
    <w:uiPriority w:val="99"/>
  </w:style>
  <w:style w:type="character" w:styleId="829" w:customStyle="1">
    <w:name w:val="Heading 1 Char"/>
    <w:basedOn w:val="826"/>
    <w:link w:val="82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0" w:customStyle="1">
    <w:name w:val="Heading 2 Char"/>
    <w:basedOn w:val="826"/>
    <w:link w:val="82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1" w:customStyle="1">
    <w:name w:val="Heading 3 Char"/>
    <w:basedOn w:val="826"/>
    <w:link w:val="82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2" w:customStyle="1">
    <w:name w:val="Heading 4 Char"/>
    <w:basedOn w:val="826"/>
    <w:link w:val="82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3">
    <w:name w:val="Normal Indent"/>
    <w:basedOn w:val="821"/>
    <w:uiPriority w:val="99"/>
    <w:unhideWhenUsed/>
    <w:pPr>
      <w:ind w:left="720"/>
    </w:pPr>
  </w:style>
  <w:style w:type="paragraph" w:styleId="834">
    <w:name w:val="Subtitle"/>
    <w:basedOn w:val="821"/>
    <w:next w:val="821"/>
    <w:link w:val="83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35" w:customStyle="1">
    <w:name w:val="Subtitle Char"/>
    <w:basedOn w:val="826"/>
    <w:link w:val="8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36">
    <w:name w:val="Title"/>
    <w:basedOn w:val="821"/>
    <w:next w:val="821"/>
    <w:link w:val="83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7" w:customStyle="1">
    <w:name w:val="Title Char"/>
    <w:basedOn w:val="826"/>
    <w:link w:val="83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8">
    <w:name w:val="Emphasis"/>
    <w:basedOn w:val="826"/>
    <w:uiPriority w:val="20"/>
    <w:qFormat/>
    <w:rPr>
      <w:i/>
      <w:iCs/>
    </w:rPr>
  </w:style>
  <w:style w:type="character" w:styleId="839">
    <w:name w:val="Hyperlink"/>
    <w:basedOn w:val="826"/>
    <w:uiPriority w:val="99"/>
    <w:unhideWhenUsed/>
    <w:rPr>
      <w:color w:val="0000ff" w:themeColor="hyperlink"/>
      <w:u w:val="single"/>
    </w:rPr>
  </w:style>
  <w:style w:type="table" w:styleId="840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2">
    <w:name w:val="Caption"/>
    <w:basedOn w:val="821"/>
    <w:next w:val="82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16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a12c" TargetMode="External"/><Relationship Id="rId22" Type="http://schemas.openxmlformats.org/officeDocument/2006/relationships/hyperlink" Target="https://m.edsoo.ru/7f41a12c" TargetMode="External"/><Relationship Id="rId23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7f41a12c" TargetMode="External"/><Relationship Id="rId25" Type="http://schemas.openxmlformats.org/officeDocument/2006/relationships/hyperlink" Target="https://m.edsoo.ru/7f41a12c" TargetMode="External"/><Relationship Id="rId26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7f41a12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2024-11-23T13:12:20Z</dcterms:modified>
</cp:coreProperties>
</file>