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spacing w:after="0"/>
        <w:rPr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1468622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44784241"/>
      <w:r/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1" w:name="block-44784243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гибкости и вариативности мышления, способностей к изобретательской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готовности участия в трудовых делах школьного коллектива;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технологии, профессии и производства;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конструктором (с учётом возможностей материаль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ИКТ (с учётом возможностей материально-технической базы образовательной организации).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межпредметных связей с учебны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отведенных на изучение предмета «Труд (технологи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я)» – 135 часов: в 1 классе – 34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(1 час в неделю), во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– 35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(1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неделю), в 3 классе – 35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часа (1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неделю), в 4 классе – 35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часа (1 час в неделю).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2" w:name="block-44784242"/>
      <w:r/>
      <w:bookmarkEnd w:id="1"/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1 КЛАСС</w:t>
      </w:r>
      <w:r/>
    </w:p>
    <w:p>
      <w:pPr>
        <w:ind w:left="120"/>
        <w:jc w:val="both"/>
        <w:spacing w:after="0" w:line="12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 родных и знакомых. Профессии, связанные с изучаемыми материалами и производствами. Профессии сферы обслуживания.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Традиции и праздники народов России, ремёсла, обычаи.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природных материалов (плоские – 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дополнительных отделочных материалов.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Конструирование и моделирование.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ИКТ.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Демонстрация учителем готовых материалов на информационных носителях.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Информация. Виды информации.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УНИВЕРСАЛЬНЫЕ УЧЕБНЫЕ ДЕЙСТВИЯ (ПРОПЕДЕВТИЧЕСКИЙ УРОВЕНЬ)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«Труд (технология)» в 1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изученного);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использовать предложенную инструкцию (устную, графическую);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отдельные изделия (конструкции), находить сходство и различия в их устройстве.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работать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общаться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несложные высказывания, сообщения в устной форме (по содержанию изученных тем).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амоорганизации и самоконтроля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и удерживать в процессе деятельности предложенную учебную задачу;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несложные действия контроля и оценки по предложенным критериям.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</w:t>
      </w:r>
      <w:r/>
    </w:p>
    <w:p>
      <w:pPr>
        <w:ind w:left="120"/>
        <w:spacing w:after="0" w:line="48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Рукотвор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  <w:r/>
    </w:p>
    <w:p>
      <w:pPr>
        <w:ind w:left="120"/>
        <w:jc w:val="both"/>
        <w:spacing w:after="0" w:line="12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и выполнение основных технологических операций ручной 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деталей изделия. Использование соответствующих способов обработки материалов в зависимости от вида и назначения изделия.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дополнительных материалов (например, проволока, пряжа, бусины и другие).</w:t>
      </w:r>
      <w:r/>
    </w:p>
    <w:p>
      <w:pPr>
        <w:ind w:left="120"/>
        <w:jc w:val="both"/>
        <w:spacing w:after="0" w:line="12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Конструирование и моделирование.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/>
    </w:p>
    <w:p>
      <w:pPr>
        <w:ind w:left="120"/>
        <w:jc w:val="both"/>
        <w:spacing w:after="0" w:line="12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ИКТ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Демонстрация учителем готовых материалов на информационных носителях.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Поиск информации. Интернет как источник информации.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изученного);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работу в соответствии с образцом, инструкцией, устной или письменной;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анализа и синтеза, сравнения, группировки с учётом указанных критериев;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рассуждения, делать умозаключения, проверять их в практической работе;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порядок действий при решении учебной (практической) задачи;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решение простых задач в умственной и материализованной форме.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работать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получать информацию из учебника и других дидактических материалов, использовать её в работе;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работать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амоорганизации и самоконтроля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принимать учебную задачу;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свою деятельность;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предлагаемый план действий, действовать по плану;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необходимые действия для получения практического результата, планировать работу;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контроля и оценки;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советы, оценку учителя и других обучающихся, стараться учитывать их в работе.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совместной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</w:t>
      </w:r>
      <w:r/>
    </w:p>
    <w:p>
      <w:pPr>
        <w:ind w:left="120"/>
        <w:spacing w:after="0" w:line="9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творческой трудовой деятельности в современ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современной тех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Бережное и внимательное отношение к природе как источнику сырьевых ресурсов и идей для технологий будущего.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рицовки на картоне с помощью канцелярского ножа, выполнение отверстий шилом.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дополнительных материалов. Комбинирование разных материалов в одном изделии.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Конструирование и моделирование.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изделий из различных материалов, в том числе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ИКТ.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4"/>
          <w:szCs w:val="24"/>
        </w:rPr>
        <w:t xml:space="preserve">DVD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4"/>
          <w:szCs w:val="24"/>
        </w:rPr>
        <w:t xml:space="preserve">Microsoft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Word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анализ предложенных образцов с выделением существенных и несущественных признаков;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способы доработки конструкций с учётом предложенных условий;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воспроизводить простой чертёж (эскиз) развёртки изделия;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восстанавливать нарушенную последовательность выполнения изделия.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анализа информации производить выбор наиболее эффективных способов работы;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монологическое высказывание, владеть диалогической формой коммуникации;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рассуждения в форме связи простых суждений об объекте, его строении, свойствах и способах создания;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предметы рукотворного мира, оценивать их достоинства;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собственное мнение, аргументировать выбор вариантов и способов выполнения задания.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и сохранять учебную задачу, осуществлять поиск средств для её решения;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саморегуляцию при выполнении задания.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совместной деятельности: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себе партнёров по совместной деятельности не только по симпатии, но и по деловым качествам;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роли лидера, подчинённого, соблюдать равноправие и дружелюбие;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взаимопомощь, проявлять ответственность при выполнении своей части работы.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</w:t>
      </w:r>
      <w:r/>
    </w:p>
    <w:p>
      <w:pPr>
        <w:ind w:left="120"/>
        <w:spacing w:after="0" w:line="12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Технологии, профессии и производства.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 и технологии современного мира. Использование достижений науки в развити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Профессии, связанные с опасностями (пожарные, космонавты, химики и другие).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/>
    </w:p>
    <w:p>
      <w:pPr>
        <w:ind w:left="120"/>
        <w:jc w:val="both"/>
        <w:spacing w:after="0" w:line="48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 ручной обработки материалов.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Комбинированное использование разных материалов.</w:t>
      </w:r>
      <w:r/>
    </w:p>
    <w:p>
      <w:pPr>
        <w:ind w:left="120"/>
        <w:jc w:val="both"/>
        <w:spacing w:after="0" w:line="48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Конструирование и моделирование.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требования к техническим устройствам (экологичность, безопасность, эргономичность и другие).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изделий из различных материалов, в том числе конструктора, по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Робототехника. Констр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ИКТ.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доступной информацией в Интернете и на цифровых носителях информации.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4"/>
          <w:szCs w:val="24"/>
        </w:rPr>
        <w:t xml:space="preserve">PowerPoint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конструкции предложенных образцов изделий;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простые задачи на преобразование конструкции;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работу в соответствии с инструкцией, устной или письменной;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анализа информации производить выбор наиболее эффективных способов работы;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поиск дополнительной информации по тематике творческих и проектных работ;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другое;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принимать учебную задачу, самостоятельно определять цели учебно-познавательной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практическую работу в соответствии с поставленной целью и выполнять её в соответствии с планом;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саморегуляцию при выполнении задания.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совместной деятельности: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/>
        <w:rPr>
          <w:sz w:val="24"/>
          <w:szCs w:val="24"/>
          <w:lang w:val="ru-RU"/>
        </w:rPr>
      </w:pPr>
      <w:r/>
      <w:bookmarkStart w:id="3" w:name="block-44784244"/>
      <w:r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ТЕХНОЛОГИИ НА УРОВНЕ НАЧАЛЬНОГО ОБЩЕГО ОБРАЗОВАНИЯ</w:t>
      </w:r>
      <w:r/>
    </w:p>
    <w:p>
      <w:pPr>
        <w:ind w:left="120"/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  <w:r/>
    </w:p>
    <w:p>
      <w:pPr>
        <w:ind w:left="120"/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анализ объектов и изделий с выделением существенных и несущественных признаков;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группы объектов (изделий), выделять в них общее и различия;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работать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как часть коммуникативных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последовательность совершаемых действий при создании изделия.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самоорганизации и самоконтроля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безопасности труда при выполнении работы;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работу, соотносить свои действия с поставленной целью;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саморегуляцию при выполнении работы.</w:t>
      </w:r>
      <w:r/>
    </w:p>
    <w:p>
      <w:pPr>
        <w:ind w:left="120"/>
        <w:jc w:val="both"/>
        <w:spacing w:after="0" w:line="48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совместной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особенности проектной дея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</w:t>
      </w:r>
      <w:r/>
    </w:p>
    <w:p>
      <w:pPr>
        <w:ind w:left="120"/>
        <w:spacing w:after="0" w:line="48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безопасной работы ножницами, иглой и аккуратной работы с клеем;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оформлять изделия строчкой прямого стежка;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задания с опорой на готовый план;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материалы и инструменты по их назначению;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разметки, придавать ф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сушки плоских изделий пресс;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разборные и неразборные конструкции несложных изделий;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несложные коллективные работы проектного характера;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профессии, связанные с изучаемыми материалами и производствами, их социальное значение.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задания по самостоятельно составленному плану;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элементарные общие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биговку;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оформлять изделия и соединять детали освоенными ручными строчками;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смысл понятия «развёртка» (трёхмерного предмета), соотносить объёмную конструкцию с изображениями её развёртки;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отличать макет от модели, строить трёхмерный макет из готовой развёртки;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и моделировать изделия из различных материалов по модели, простейшему чертежу или эскизу;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несложные конструкторско-технологические задачи;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выбор, какое мнение принять – своё или другое, высказанное в ходе обсуждения;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работу в малых группах, осуществлять сотрудничество;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профессии людей, работающих в сфере обслуживания.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смысл понятий «чертёж развёртки», «канцелярский нож», «шило», «искусственный материал»;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и называть линии чертежа (осевая и центровая);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пользоваться канцелярским ножом, шилом;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рицовку;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соединение деталей и отделку изделия освоенными ручными строчками;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простейшие задачи технико-технологического характера по изменению вида и способа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изменять конструкцию изделия по заданным условиям;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способ соединения и соединительный материал в зависимости от требований конструкции;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основные правила безопасной работы на компьютере;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более сл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4"/>
          <w:szCs w:val="24"/>
        </w:rPr>
        <w:t xml:space="preserve">Word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PowerPoint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r/>
    </w:p>
    <w:p>
      <w:pPr>
        <w:ind w:left="-426" w:firstLine="426"/>
        <w:rPr>
          <w:lang w:val="ru-RU"/>
        </w:rPr>
        <w:sectPr>
          <w:footnotePr/>
          <w:endnotePr/>
          <w:type w:val="nextPage"/>
          <w:pgSz w:w="11906" w:h="16383" w:orient="portrait"/>
          <w:pgMar w:top="568" w:right="850" w:bottom="851" w:left="1134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7" w:name="block-44784240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888"/>
        <w:gridCol w:w="1343"/>
        <w:gridCol w:w="1840"/>
        <w:gridCol w:w="1909"/>
        <w:gridCol w:w="1346"/>
        <w:gridCol w:w="222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материалами и производствами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моделирование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природных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изделиях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свойства. Виды картона.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бумаги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«конструкция».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деталей по шаблону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иглы и приспособления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2.11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Вышивка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2.12</w:t>
            </w:r>
            <w:r/>
          </w:p>
        </w:tc>
        <w:tc>
          <w:tcPr>
            <w:tcMar>
              <w:left w:w="100" w:type="dxa"/>
              <w:top w:w="50" w:type="dxa"/>
            </w:tcMar>
            <w:tcW w:w="38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работ. Итоговое занятие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927"/>
        <w:gridCol w:w="1328"/>
        <w:gridCol w:w="1840"/>
        <w:gridCol w:w="1909"/>
        <w:gridCol w:w="1346"/>
        <w:gridCol w:w="222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Мастера и их профессии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моделирование.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представление)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графической грамоты.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линейке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угольнику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круглых деталей циркулем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деталей изделия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Основные свойства натуральных тканей.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варианты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за год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785"/>
        <w:gridCol w:w="1354"/>
        <w:gridCol w:w="1840"/>
        <w:gridCol w:w="1909"/>
        <w:gridCol w:w="1346"/>
        <w:gridCol w:w="267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обработкой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информационный мир. Персональный компьютер (ПК) и его назначение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фольги.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Развертка. Чертеж развертки.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текстильных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Пришивание пуговиц. Ремонт одежды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моделирование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за год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lesson.edu.ru/20/03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/20/03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927"/>
        <w:gridCol w:w="1294"/>
        <w:gridCol w:w="1840"/>
        <w:gridCol w:w="1909"/>
        <w:gridCol w:w="1346"/>
        <w:gridCol w:w="267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производства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Современные производства и профессии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Информационно-коммуникационные технологии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Информационно-коммуникационные технологии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моделирование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робототехнических моделей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Конструирование и моделирование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картона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изделий из разверток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материалы. 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7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за год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lesson.edu.ru/20/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/20/04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6"/>
    <w:link w:val="60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6"/>
    <w:link w:val="60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6"/>
    <w:link w:val="60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6"/>
    <w:link w:val="60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6"/>
    <w:link w:val="618"/>
    <w:uiPriority w:val="10"/>
    <w:rPr>
      <w:sz w:val="48"/>
      <w:szCs w:val="48"/>
    </w:rPr>
  </w:style>
  <w:style w:type="character" w:styleId="37">
    <w:name w:val="Subtitle Char"/>
    <w:basedOn w:val="606"/>
    <w:link w:val="61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6"/>
    <w:link w:val="609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6"/>
    <w:link w:val="44"/>
    <w:uiPriority w:val="99"/>
  </w:style>
  <w:style w:type="character" w:styleId="47">
    <w:name w:val="Caption Char"/>
    <w:basedOn w:val="623"/>
    <w:link w:val="44"/>
    <w:uiPriority w:val="99"/>
  </w:style>
  <w:style w:type="table" w:styleId="49">
    <w:name w:val="Table Grid Light"/>
    <w:basedOn w:val="6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6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6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paragraph" w:styleId="602">
    <w:name w:val="Heading 1"/>
    <w:basedOn w:val="601"/>
    <w:next w:val="601"/>
    <w:link w:val="61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03">
    <w:name w:val="Heading 2"/>
    <w:basedOn w:val="601"/>
    <w:next w:val="601"/>
    <w:link w:val="61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04">
    <w:name w:val="Heading 3"/>
    <w:basedOn w:val="601"/>
    <w:next w:val="601"/>
    <w:link w:val="61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05">
    <w:name w:val="Heading 4"/>
    <w:basedOn w:val="601"/>
    <w:next w:val="601"/>
    <w:link w:val="61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06" w:default="1">
    <w:name w:val="Default Paragraph Font"/>
    <w:uiPriority w:val="1"/>
    <w:semiHidden/>
    <w:unhideWhenUsed/>
  </w:style>
  <w:style w:type="table" w:styleId="6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8" w:default="1">
    <w:name w:val="No List"/>
    <w:uiPriority w:val="99"/>
    <w:semiHidden/>
    <w:unhideWhenUsed/>
  </w:style>
  <w:style w:type="paragraph" w:styleId="609">
    <w:name w:val="Header"/>
    <w:basedOn w:val="601"/>
    <w:link w:val="61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0" w:customStyle="1">
    <w:name w:val="Верхний колонтитул Знак"/>
    <w:basedOn w:val="606"/>
    <w:link w:val="609"/>
    <w:uiPriority w:val="99"/>
  </w:style>
  <w:style w:type="character" w:styleId="611" w:customStyle="1">
    <w:name w:val="Заголовок 1 Знак"/>
    <w:basedOn w:val="606"/>
    <w:link w:val="60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12" w:customStyle="1">
    <w:name w:val="Заголовок 2 Знак"/>
    <w:basedOn w:val="606"/>
    <w:link w:val="60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13" w:customStyle="1">
    <w:name w:val="Заголовок 3 Знак"/>
    <w:basedOn w:val="606"/>
    <w:link w:val="604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14" w:customStyle="1">
    <w:name w:val="Заголовок 4 Знак"/>
    <w:basedOn w:val="606"/>
    <w:link w:val="60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15">
    <w:name w:val="Normal Indent"/>
    <w:basedOn w:val="601"/>
    <w:uiPriority w:val="99"/>
    <w:unhideWhenUsed/>
    <w:pPr>
      <w:ind w:left="720"/>
    </w:pPr>
  </w:style>
  <w:style w:type="paragraph" w:styleId="616">
    <w:name w:val="Subtitle"/>
    <w:basedOn w:val="601"/>
    <w:next w:val="601"/>
    <w:link w:val="61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617" w:customStyle="1">
    <w:name w:val="Подзаголовок Знак"/>
    <w:basedOn w:val="606"/>
    <w:link w:val="616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618">
    <w:name w:val="Title"/>
    <w:basedOn w:val="601"/>
    <w:next w:val="601"/>
    <w:link w:val="619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19" w:customStyle="1">
    <w:name w:val="Заголовок Знак"/>
    <w:basedOn w:val="606"/>
    <w:link w:val="618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20">
    <w:name w:val="Emphasis"/>
    <w:basedOn w:val="606"/>
    <w:uiPriority w:val="20"/>
    <w:qFormat/>
    <w:rPr>
      <w:i/>
      <w:iCs/>
    </w:rPr>
  </w:style>
  <w:style w:type="character" w:styleId="621">
    <w:name w:val="Hyperlink"/>
    <w:basedOn w:val="606"/>
    <w:uiPriority w:val="99"/>
    <w:unhideWhenUsed/>
    <w:rPr>
      <w:color w:val="0563c1" w:themeColor="hyperlink"/>
      <w:u w:val="single"/>
    </w:rPr>
  </w:style>
  <w:style w:type="table" w:styleId="622">
    <w:name w:val="Table Grid"/>
    <w:basedOn w:val="60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23">
    <w:name w:val="Caption"/>
    <w:basedOn w:val="601"/>
    <w:next w:val="601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624">
    <w:name w:val="Balloon Text"/>
    <w:basedOn w:val="601"/>
    <w:link w:val="62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06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16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3" TargetMode="External"/><Relationship Id="rId20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4" TargetMode="External"/><Relationship Id="rId22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24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27" Type="http://schemas.openxmlformats.org/officeDocument/2006/relationships/hyperlink" Target="https://lesson.edu.ru/20/04" TargetMode="External"/><Relationship Id="rId28" Type="http://schemas.openxmlformats.org/officeDocument/2006/relationships/hyperlink" Target="https://lesson.edu.ru/20/04" TargetMode="External"/><Relationship Id="rId29" Type="http://schemas.openxmlformats.org/officeDocument/2006/relationships/hyperlink" Target="https://lesson.edu.ru/20/04" TargetMode="External"/><Relationship Id="rId30" Type="http://schemas.openxmlformats.org/officeDocument/2006/relationships/hyperlink" Target="https://lesson.edu.ru/20/0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2024-09-17T17:07:00Z</dcterms:created>
  <dcterms:modified xsi:type="dcterms:W3CDTF">2024-11-21T15:13:04Z</dcterms:modified>
</cp:coreProperties>
</file>